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val="uk-UA"/>
        </w:rPr>
      </w:pPr>
      <w:bookmarkStart w:id="0" w:name="__UnoMark__33_720609699"/>
      <w:bookmarkEnd w:id="0"/>
      <w:r>
        <w:rPr>
          <w:lang w:val="uk-UA"/>
        </w:rPr>
        <w:t>УМОВИ ПРАЦІ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  <w:t xml:space="preserve">директора Комунальний заклад культури «Будинок культури Червонозаводського району м. Харкова»  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Особливості  режиму  робочого часу та часу відпочинку  директора встановлюються відповідно до умов Колективного договору та Правил внутрішнього трудового розпорядку закладу.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Директору надається щорічна відпустка тривалістю 24 календарних днів та додаткова відпустка на строк, визначений Колективним договором.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Директору виплачується  матеріальна допомога на оздоровлення під час надання основної щорічної відпустки у розмірі посадового окладу.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Керівнику нараховується та виплачується заробітна плата за рахунок коштів міського бюджету, виходячи з установлених  керівнику розмірів сум: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  <w:t>- посадового окладу, який визначається на основі Єдиної тарифної сітки розрядів і коефіцієнтів з оплати праці працівників бюджетної сфери;</w:t>
      </w:r>
    </w:p>
    <w:p>
      <w:pPr>
        <w:pStyle w:val="Normal"/>
        <w:jc w:val="both"/>
        <w:rPr>
          <w:lang w:val="uk-UA"/>
        </w:rPr>
      </w:pPr>
      <w:bookmarkStart w:id="1" w:name="_GoBack"/>
      <w:bookmarkEnd w:id="1"/>
      <w:r>
        <w:rPr>
          <w:lang w:val="uk-UA"/>
        </w:rPr>
        <w:tab/>
        <w:t>- премія директору сплачується  за наказом  головного розпорядника коштів на принципах, обумовлених Колективним договором закладу культури та Положенням про преміювання працівників закладу.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ab/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  <w:t>Директору може виплачуватися разова матеріальна допомога в межах затвердженого фонду на оплату праці за погодженням з Департаментом культури Харківської міської ради.</w:t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right="0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Начальник відділу культури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по Червонозаводському району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Департаменту культури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Харківської міської ради                                                      Н.Д. Демурджан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a41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Calibri"/>
      <w:color w:val="auto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2016-11-11T09:40:00Z</dcterms:created>
  <dc:creator>НАТАШЕНЬКА</dc:creator>
  <dc:language>ru-RU</dc:language>
  <cp:lastModifiedBy>НАТАШЕНЬКА</cp:lastModifiedBy>
  <dcterms:modified xsi:type="dcterms:W3CDTF">2016-11-11T09:58:00Z</dcterms:modified>
  <cp:revision>3</cp:revision>
</cp:coreProperties>
</file>