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1B" w:rsidRPr="00295C41" w:rsidRDefault="003B721B" w:rsidP="00295C41">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295C41">
        <w:rPr>
          <w:rFonts w:ascii="Times New Roman" w:hAnsi="Times New Roman"/>
          <w:b/>
          <w:kern w:val="36"/>
          <w:sz w:val="32"/>
          <w:szCs w:val="32"/>
          <w:lang w:val="uk-UA" w:eastAsia="ru-RU"/>
        </w:rPr>
        <w:t xml:space="preserve">Заява про визначення обсягу стратегічної екологічної оцінки проєкту Програми економічного та соціального </w:t>
      </w:r>
      <w:r>
        <w:rPr>
          <w:rFonts w:ascii="Times New Roman" w:hAnsi="Times New Roman"/>
          <w:b/>
          <w:kern w:val="36"/>
          <w:sz w:val="32"/>
          <w:szCs w:val="32"/>
          <w:lang w:val="uk-UA" w:eastAsia="ru-RU"/>
        </w:rPr>
        <w:t>розвитку м. Харкова на 2021 рік</w:t>
      </w:r>
    </w:p>
    <w:p w:rsidR="003B721B" w:rsidRPr="00295C41" w:rsidRDefault="003B721B" w:rsidP="00295C41">
      <w:pPr>
        <w:shd w:val="clear" w:color="auto" w:fill="FFFFFF"/>
        <w:spacing w:after="0" w:line="240" w:lineRule="auto"/>
        <w:ind w:firstLine="567"/>
        <w:jc w:val="both"/>
        <w:rPr>
          <w:rFonts w:ascii="Times New Roman" w:hAnsi="Times New Roman"/>
          <w:sz w:val="24"/>
          <w:szCs w:val="24"/>
          <w:highlight w:val="yellow"/>
          <w:lang w:val="uk-UA" w:eastAsia="ru-RU"/>
        </w:rPr>
      </w:pPr>
    </w:p>
    <w:p w:rsidR="003B721B" w:rsidRDefault="003B721B" w:rsidP="00295C41">
      <w:pPr>
        <w:shd w:val="clear" w:color="auto" w:fill="FFFFFF"/>
        <w:spacing w:after="0" w:line="240" w:lineRule="auto"/>
        <w:ind w:firstLine="567"/>
        <w:jc w:val="both"/>
        <w:rPr>
          <w:rFonts w:ascii="Times New Roman" w:hAnsi="Times New Roman"/>
          <w:sz w:val="28"/>
          <w:szCs w:val="28"/>
          <w:lang w:val="uk-UA" w:eastAsia="ru-RU"/>
        </w:rPr>
      </w:pPr>
      <w:r w:rsidRPr="00295C41">
        <w:rPr>
          <w:rFonts w:ascii="Times New Roman" w:hAnsi="Times New Roman"/>
          <w:b/>
          <w:bCs/>
          <w:sz w:val="28"/>
          <w:szCs w:val="28"/>
          <w:lang w:val="uk-UA" w:eastAsia="ru-RU"/>
        </w:rPr>
        <w:t>1. Замовник:</w:t>
      </w:r>
      <w:r w:rsidRPr="00295C41">
        <w:rPr>
          <w:rFonts w:ascii="Times New Roman" w:hAnsi="Times New Roman"/>
          <w:sz w:val="28"/>
          <w:szCs w:val="28"/>
          <w:lang w:val="uk-UA" w:eastAsia="ru-RU"/>
        </w:rPr>
        <w:t> Департамент економіки та комунального майна Харківської міської ради.</w:t>
      </w:r>
    </w:p>
    <w:p w:rsidR="00EE1010" w:rsidRPr="00295C41" w:rsidRDefault="00EE1010" w:rsidP="00295C41">
      <w:pPr>
        <w:shd w:val="clear" w:color="auto" w:fill="FFFFFF"/>
        <w:spacing w:after="0" w:line="240" w:lineRule="auto"/>
        <w:ind w:firstLine="567"/>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2. Вид та основні цілі документа державного планування, його зв’язок</w:t>
      </w:r>
    </w:p>
    <w:p w:rsidR="003B721B" w:rsidRPr="00295C41" w:rsidRDefault="003B721B" w:rsidP="00295C41">
      <w:pPr>
        <w:shd w:val="clear" w:color="auto" w:fill="FFFFFF"/>
        <w:spacing w:after="0" w:line="240" w:lineRule="auto"/>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з іншими документами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outlineLvl w:val="0"/>
        <w:rPr>
          <w:rFonts w:ascii="Times New Roman" w:hAnsi="Times New Roman"/>
          <w:sz w:val="28"/>
          <w:szCs w:val="28"/>
          <w:lang w:val="uk-UA" w:eastAsia="ru-RU"/>
        </w:rPr>
      </w:pPr>
      <w:r w:rsidRPr="00295C41">
        <w:rPr>
          <w:rFonts w:ascii="Times New Roman" w:hAnsi="Times New Roman"/>
          <w:b/>
          <w:bCs/>
          <w:sz w:val="28"/>
          <w:szCs w:val="28"/>
          <w:lang w:val="uk-UA" w:eastAsia="ru-RU"/>
        </w:rPr>
        <w:t>Вид документу державного планування</w:t>
      </w:r>
      <w:r w:rsidRPr="00295C41">
        <w:rPr>
          <w:rFonts w:ascii="Times New Roman" w:hAnsi="Times New Roman"/>
          <w:sz w:val="28"/>
          <w:szCs w:val="28"/>
          <w:lang w:val="uk-UA" w:eastAsia="ru-RU"/>
        </w:rPr>
        <w:t xml:space="preserve"> – Програма економічного </w:t>
      </w:r>
      <w:r w:rsidRPr="00295C41">
        <w:rPr>
          <w:rFonts w:ascii="Times New Roman" w:hAnsi="Times New Roman"/>
          <w:sz w:val="28"/>
          <w:szCs w:val="28"/>
          <w:lang w:val="uk-UA" w:eastAsia="ru-RU"/>
        </w:rPr>
        <w:br/>
        <w:t>та соціального розвитку м. Харкова на 2021 рік (далі – Програма).</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Основні стратегічні цілі Програми: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i/>
          <w:sz w:val="28"/>
          <w:szCs w:val="28"/>
          <w:lang w:val="uk-UA" w:eastAsia="ru-RU"/>
        </w:rPr>
        <w:t>Цілі направлені на розвиток економіки міста:</w:t>
      </w:r>
      <w:r w:rsidRPr="00295C41">
        <w:rPr>
          <w:rFonts w:ascii="Times New Roman" w:hAnsi="Times New Roman"/>
          <w:sz w:val="28"/>
          <w:szCs w:val="28"/>
          <w:lang w:val="uk-UA" w:eastAsia="ru-RU"/>
        </w:rPr>
        <w:t xml:space="preserve"> досягнення стабільного економічного зростання, підвищення ефективності діяльності комунальних підприємств та використання земельних ресурсів і комунального майна, проведення цілеспрямованої містобудівної політики; оновлення та розвиток інженерно-транспортної інфраструктури, впровадження енергоефективних заходів, розширення житлового будівництва та будівництва об’єктів соціальної сфери розвиток міжнародних відносин, сприяння цифровому розвитку міста, </w:t>
      </w:r>
      <w:r w:rsidRPr="00295C41">
        <w:rPr>
          <w:rFonts w:ascii="Times New Roman" w:hAnsi="Times New Roman"/>
          <w:sz w:val="28"/>
          <w:szCs w:val="28"/>
          <w:lang w:val="uk-UA" w:eastAsia="ru-RU"/>
        </w:rPr>
        <w:br/>
        <w:t>а також створення умов для розвитку підприємництва та для роботи промислових підприємств.</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i/>
          <w:sz w:val="28"/>
          <w:szCs w:val="28"/>
          <w:lang w:val="uk-UA" w:eastAsia="ru-RU"/>
        </w:rPr>
        <w:t xml:space="preserve">Цілі направлені на розвиток соціальної сфери міста: </w:t>
      </w:r>
      <w:r w:rsidRPr="00295C41">
        <w:rPr>
          <w:rFonts w:ascii="Times New Roman" w:hAnsi="Times New Roman"/>
          <w:sz w:val="28"/>
          <w:szCs w:val="28"/>
          <w:lang w:val="uk-UA" w:eastAsia="ru-RU"/>
        </w:rPr>
        <w:t xml:space="preserve">вирішення соціальних і гуманітарних питань, забезпечення гідних умов життя, підвищення комфортності проживання мешканців міста та загального добробуту населення, підтримка його найуразливіших верств, збереження та захист здоров’я громадян, доступ до якісної освіти, розвиток культури та спорту, розвиток туризму та укріплення позитивного іміджу Харкова як в Україні, так </w:t>
      </w:r>
      <w:r w:rsidRPr="00295C41">
        <w:rPr>
          <w:rFonts w:ascii="Times New Roman" w:hAnsi="Times New Roman"/>
          <w:sz w:val="28"/>
          <w:szCs w:val="28"/>
          <w:lang w:val="uk-UA" w:eastAsia="ru-RU"/>
        </w:rPr>
        <w:br/>
        <w:t>і в міжнародному співтоваристві, поліпшення якості суспільних послуг, зміцнення законності та правопорядку.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b/>
          <w:bCs/>
          <w:sz w:val="28"/>
          <w:szCs w:val="28"/>
          <w:lang w:val="uk-UA" w:eastAsia="ru-RU"/>
        </w:rPr>
        <w:t>Зв’язок з іншими документами державного планування</w:t>
      </w:r>
      <w:r w:rsidRPr="00295C41">
        <w:rPr>
          <w:rFonts w:ascii="Times New Roman" w:hAnsi="Times New Roman"/>
          <w:sz w:val="28"/>
          <w:szCs w:val="28"/>
          <w:lang w:val="uk-UA" w:eastAsia="ru-RU"/>
        </w:rPr>
        <w:t xml:space="preserve">: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Програма економічного та соціального розвитку м. Харкова на 2021 рік враховує прогнозні макропоказники економічного та соціального розвитку України</w:t>
      </w:r>
      <w:r w:rsidR="002F5DE4">
        <w:rPr>
          <w:rFonts w:ascii="Times New Roman" w:hAnsi="Times New Roman"/>
          <w:sz w:val="28"/>
          <w:szCs w:val="28"/>
          <w:lang w:val="uk-UA" w:eastAsia="ru-RU"/>
        </w:rPr>
        <w:t>,</w:t>
      </w:r>
      <w:r w:rsidRPr="00295C41">
        <w:rPr>
          <w:rFonts w:ascii="Times New Roman" w:hAnsi="Times New Roman"/>
          <w:sz w:val="28"/>
          <w:szCs w:val="28"/>
          <w:lang w:val="uk-UA" w:eastAsia="ru-RU"/>
        </w:rPr>
        <w:t xml:space="preserve"> завдання і положення стратегії розвитку Харківської області на 2021-2027 роки та План заходів на 2021-2023 роки з реалізації стратегії розвитку Харківської області на 2021-2027 роки.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Заходи цільових галузевих програм, затверджені міською радою, увійшли як складові по кожному напрямку Програми.</w:t>
      </w:r>
    </w:p>
    <w:p w:rsidR="003B721B"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3. Те, якою мірою документ державного планування визначає умови для реалізації видів діяльності або об’єктів, щодо яких законодавством </w:t>
      </w:r>
      <w:r w:rsidRPr="00295C41">
        <w:rPr>
          <w:rFonts w:ascii="Times New Roman" w:hAnsi="Times New Roman"/>
          <w:b/>
          <w:bCs/>
          <w:sz w:val="28"/>
          <w:szCs w:val="28"/>
          <w:lang w:val="uk-UA" w:eastAsia="ru-RU"/>
        </w:rPr>
        <w:lastRenderedPageBreak/>
        <w:t xml:space="preserve">передбачено здійснення процедури оцінки впливу на довкілля (у тому числі щодо визначення місцезнаходження, розміру, потужності </w:t>
      </w:r>
      <w:r>
        <w:rPr>
          <w:rFonts w:ascii="Times New Roman" w:hAnsi="Times New Roman"/>
          <w:b/>
          <w:bCs/>
          <w:sz w:val="28"/>
          <w:szCs w:val="28"/>
          <w:lang w:val="uk-UA" w:eastAsia="ru-RU"/>
        </w:rPr>
        <w:br/>
      </w:r>
      <w:r w:rsidRPr="00295C41">
        <w:rPr>
          <w:rFonts w:ascii="Times New Roman" w:hAnsi="Times New Roman"/>
          <w:b/>
          <w:bCs/>
          <w:sz w:val="28"/>
          <w:szCs w:val="28"/>
          <w:lang w:val="uk-UA" w:eastAsia="ru-RU"/>
        </w:rPr>
        <w:t>або розміщення ресурсів)</w:t>
      </w: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Програма є ключовим документом, який визначає розвиток міста </w:t>
      </w:r>
      <w:r w:rsidRPr="00295C41">
        <w:rPr>
          <w:rFonts w:ascii="Times New Roman" w:hAnsi="Times New Roman"/>
          <w:sz w:val="28"/>
          <w:szCs w:val="28"/>
          <w:lang w:val="uk-UA" w:eastAsia="ru-RU"/>
        </w:rPr>
        <w:br/>
        <w:t xml:space="preserve">в короткостроковій перспективі, готується з урахуванням пропозицій постійних комісій міської ради, підприємств, установ та організацій міста, </w:t>
      </w:r>
      <w:r w:rsidRPr="00295C41">
        <w:rPr>
          <w:rFonts w:ascii="Times New Roman" w:hAnsi="Times New Roman"/>
          <w:sz w:val="28"/>
          <w:szCs w:val="28"/>
          <w:lang w:val="uk-UA" w:eastAsia="ru-RU"/>
        </w:rPr>
        <w:br/>
        <w:t xml:space="preserve">що задіяні у виконанні поставлених завдань. Програма розробляється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з врахуванням вимог Закону України «Про стратегічну екологічну оцінку» і постанови Кабінету Міністрів України «Про розроблення прогнозних і програмних документів економічного і соціального розвитку </w:t>
      </w:r>
      <w:r w:rsidRPr="00295C41">
        <w:rPr>
          <w:rFonts w:ascii="Times New Roman" w:hAnsi="Times New Roman"/>
          <w:sz w:val="28"/>
          <w:szCs w:val="28"/>
          <w:lang w:val="uk-UA" w:eastAsia="ru-RU"/>
        </w:rPr>
        <w:br/>
        <w:t>та складання проєкту державного бюджету».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Заходи програми формуються з урахуванням завдань інших чинних цільових та галузевих міських програм та є основою для формування </w:t>
      </w:r>
      <w:r w:rsidRPr="00295C41">
        <w:rPr>
          <w:rFonts w:ascii="Times New Roman" w:hAnsi="Times New Roman"/>
          <w:sz w:val="28"/>
          <w:szCs w:val="28"/>
          <w:lang w:val="uk-UA" w:eastAsia="ru-RU"/>
        </w:rPr>
        <w:br/>
        <w:t>та раціонального використання фінансових і матеріальних ресурсів, спрямованих на реалізацію першочергових завдань, відповідно до пріоритетів економічного та соціального розвитку Харкова на 2021 рік.</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Серед проєктів/заходів передбачених до виконання Програмою можуть бути </w:t>
      </w:r>
      <w:proofErr w:type="spellStart"/>
      <w:r w:rsidRPr="00295C41">
        <w:rPr>
          <w:rFonts w:ascii="Times New Roman" w:hAnsi="Times New Roman"/>
          <w:sz w:val="28"/>
          <w:szCs w:val="28"/>
          <w:lang w:val="uk-UA" w:eastAsia="ru-RU"/>
        </w:rPr>
        <w:t>проєкти</w:t>
      </w:r>
      <w:proofErr w:type="spellEnd"/>
      <w:r w:rsidRPr="00295C41">
        <w:rPr>
          <w:rFonts w:ascii="Times New Roman" w:hAnsi="Times New Roman"/>
          <w:sz w:val="28"/>
          <w:szCs w:val="28"/>
          <w:lang w:val="uk-UA" w:eastAsia="ru-RU"/>
        </w:rPr>
        <w:t>, які, відповідно до Закону України «Про оцінку впливу</w:t>
      </w:r>
      <w:r w:rsidRPr="00295C41">
        <w:rPr>
          <w:rFonts w:ascii="Times New Roman" w:hAnsi="Times New Roman"/>
          <w:sz w:val="28"/>
          <w:szCs w:val="28"/>
          <w:lang w:val="uk-UA" w:eastAsia="ru-RU"/>
        </w:rPr>
        <w:br/>
        <w:t>на довкілля», підлягатимуть оцінці впливу на довкілля до прийняття рішення про впровадження планової діяльності. Для таких проєктів має бути здійснена процедура оцінки впливу на довкілля.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shd w:val="clear" w:color="auto" w:fill="FFFFFF"/>
          <w:lang w:val="uk-UA"/>
        </w:rPr>
        <w:t>Відповідно до законів України «Про регулювання містобудівної діяльності» та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4. Ймовірні наслідки: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sidRPr="00295C41">
        <w:rPr>
          <w:rFonts w:ascii="Times New Roman" w:hAnsi="Times New Roman"/>
          <w:sz w:val="28"/>
          <w:szCs w:val="28"/>
          <w:lang w:val="uk-UA" w:eastAsia="ru-RU"/>
        </w:rPr>
        <w:t xml:space="preserve">В ході здійснення стратегічної екологічної оцінки (далі – СЕО) буде оцінено ймовірні наслідки реалізації проєкту Програми, зокрема, мають бути оцінені </w:t>
      </w:r>
      <w:r w:rsidRPr="00295C41">
        <w:rPr>
          <w:rFonts w:ascii="Times New Roman" w:hAnsi="Times New Roman"/>
          <w:bCs/>
          <w:sz w:val="28"/>
          <w:szCs w:val="28"/>
          <w:lang w:val="uk-UA" w:eastAsia="ru-RU"/>
        </w:rPr>
        <w:t>ймовірні наслідки:</w:t>
      </w: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Cs/>
          <w:sz w:val="28"/>
          <w:szCs w:val="28"/>
          <w:lang w:val="uk-UA" w:eastAsia="ru-RU"/>
        </w:rPr>
        <w:t>а) для довкілля, у тому числі для здоров’я населення, за такими компонентами:</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атмосферне повітря;</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ґрунти;</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водні ресурси;</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рекреаційні зони та природно-заповідний фонд;</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відходи;</w:t>
      </w:r>
    </w:p>
    <w:p w:rsidR="003B721B" w:rsidRPr="00295C41" w:rsidRDefault="003B721B" w:rsidP="00295C41">
      <w:pPr>
        <w:pStyle w:val="a6"/>
        <w:numPr>
          <w:ilvl w:val="0"/>
          <w:numId w:val="6"/>
        </w:numPr>
        <w:shd w:val="clear" w:color="auto" w:fill="FFFFFF"/>
        <w:tabs>
          <w:tab w:val="left" w:pos="1080"/>
        </w:tabs>
        <w:spacing w:after="0" w:line="240" w:lineRule="auto"/>
        <w:ind w:firstLine="0"/>
        <w:jc w:val="both"/>
        <w:rPr>
          <w:rFonts w:ascii="Times New Roman" w:hAnsi="Times New Roman"/>
          <w:sz w:val="28"/>
          <w:szCs w:val="28"/>
          <w:lang w:val="uk-UA" w:eastAsia="ru-RU"/>
        </w:rPr>
      </w:pPr>
      <w:r w:rsidRPr="00295C41">
        <w:rPr>
          <w:rFonts w:ascii="Times New Roman" w:hAnsi="Times New Roman"/>
          <w:sz w:val="28"/>
          <w:szCs w:val="28"/>
          <w:lang w:val="uk-UA" w:eastAsia="ru-RU"/>
        </w:rPr>
        <w:t>здоров’я населення.</w:t>
      </w:r>
    </w:p>
    <w:p w:rsidR="003B721B" w:rsidRPr="00295C41" w:rsidRDefault="003B721B"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sidRPr="00295C41">
        <w:rPr>
          <w:rFonts w:ascii="Times New Roman" w:hAnsi="Times New Roman"/>
          <w:bCs/>
          <w:sz w:val="28"/>
          <w:szCs w:val="28"/>
          <w:lang w:val="uk-UA" w:eastAsia="ru-RU"/>
        </w:rPr>
        <w:t>б)</w:t>
      </w:r>
      <w:r w:rsidRPr="00295C41">
        <w:rPr>
          <w:rFonts w:ascii="Times New Roman" w:hAnsi="Times New Roman"/>
          <w:b/>
          <w:bCs/>
          <w:sz w:val="28"/>
          <w:szCs w:val="28"/>
          <w:lang w:val="uk-UA" w:eastAsia="ru-RU"/>
        </w:rPr>
        <w:t> </w:t>
      </w:r>
      <w:r w:rsidRPr="00295C41">
        <w:rPr>
          <w:rFonts w:ascii="Times New Roman" w:hAnsi="Times New Roman"/>
          <w:bCs/>
          <w:sz w:val="28"/>
          <w:szCs w:val="28"/>
          <w:lang w:val="uk-UA" w:eastAsia="ru-RU"/>
        </w:rPr>
        <w:t>для територій з природоохоронним статусом</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lastRenderedPageBreak/>
        <w:t>На території м.</w:t>
      </w:r>
      <w:r>
        <w:rPr>
          <w:rFonts w:ascii="Times New Roman" w:hAnsi="Times New Roman"/>
          <w:sz w:val="28"/>
          <w:szCs w:val="28"/>
          <w:lang w:val="uk-UA" w:eastAsia="ru-RU"/>
        </w:rPr>
        <w:t> </w:t>
      </w:r>
      <w:r w:rsidRPr="00295C41">
        <w:rPr>
          <w:rFonts w:ascii="Times New Roman" w:hAnsi="Times New Roman"/>
          <w:sz w:val="28"/>
          <w:szCs w:val="28"/>
          <w:lang w:val="uk-UA" w:eastAsia="ru-RU"/>
        </w:rPr>
        <w:t>Харкова нараховується 16</w:t>
      </w:r>
      <w:r>
        <w:rPr>
          <w:rFonts w:ascii="Times New Roman" w:hAnsi="Times New Roman"/>
          <w:sz w:val="28"/>
          <w:szCs w:val="28"/>
          <w:lang w:val="uk-UA" w:eastAsia="ru-RU"/>
        </w:rPr>
        <w:t> </w:t>
      </w:r>
      <w:r w:rsidRPr="00295C41">
        <w:rPr>
          <w:rFonts w:ascii="Times New Roman" w:hAnsi="Times New Roman"/>
          <w:sz w:val="28"/>
          <w:szCs w:val="28"/>
          <w:lang w:val="uk-UA" w:eastAsia="ru-RU"/>
        </w:rPr>
        <w:t>територій та об’єктів природно-заповідного фонду загальною площею 1 572,25</w:t>
      </w:r>
      <w:r>
        <w:rPr>
          <w:rFonts w:ascii="Times New Roman" w:hAnsi="Times New Roman"/>
          <w:sz w:val="28"/>
          <w:szCs w:val="28"/>
          <w:lang w:val="uk-UA" w:eastAsia="ru-RU"/>
        </w:rPr>
        <w:t> </w:t>
      </w:r>
      <w:r w:rsidRPr="00295C41">
        <w:rPr>
          <w:rFonts w:ascii="Times New Roman" w:hAnsi="Times New Roman"/>
          <w:sz w:val="28"/>
          <w:szCs w:val="28"/>
          <w:lang w:val="uk-UA" w:eastAsia="ru-RU"/>
        </w:rPr>
        <w:t>га, що складає 4,5</w:t>
      </w:r>
      <w:r>
        <w:rPr>
          <w:rFonts w:ascii="Times New Roman" w:hAnsi="Times New Roman"/>
          <w:sz w:val="28"/>
          <w:szCs w:val="28"/>
          <w:lang w:val="uk-UA" w:eastAsia="ru-RU"/>
        </w:rPr>
        <w:t> </w:t>
      </w:r>
      <w:r w:rsidRPr="00295C41">
        <w:rPr>
          <w:rFonts w:ascii="Times New Roman" w:hAnsi="Times New Roman"/>
          <w:sz w:val="28"/>
          <w:szCs w:val="28"/>
          <w:lang w:val="uk-UA" w:eastAsia="ru-RU"/>
        </w:rPr>
        <w:t>% від площі міста.</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Під час здійснення стратегічної екологічної оцінки необхідно оцінити ймовірні наслідки для цих територій.</w:t>
      </w:r>
    </w:p>
    <w:p w:rsidR="003B721B" w:rsidRPr="00295C41" w:rsidRDefault="003B721B" w:rsidP="00295C41">
      <w:pPr>
        <w:shd w:val="clear" w:color="auto" w:fill="FFFFFF"/>
        <w:spacing w:after="0" w:line="240" w:lineRule="auto"/>
        <w:ind w:firstLine="567"/>
        <w:contextualSpacing/>
        <w:jc w:val="both"/>
        <w:rPr>
          <w:rFonts w:ascii="Times New Roman" w:hAnsi="Times New Roman"/>
          <w:bCs/>
          <w:sz w:val="28"/>
          <w:szCs w:val="28"/>
          <w:lang w:val="uk-UA" w:eastAsia="ru-RU"/>
        </w:rPr>
      </w:pPr>
      <w:r w:rsidRPr="00295C41">
        <w:rPr>
          <w:rFonts w:ascii="Times New Roman" w:hAnsi="Times New Roman"/>
          <w:bCs/>
          <w:sz w:val="28"/>
          <w:szCs w:val="28"/>
          <w:lang w:val="uk-UA" w:eastAsia="ru-RU"/>
        </w:rPr>
        <w:t>в) транскордонні наслідки для довкілля, у тому числі для здоров’я населення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Зважаючи на географічне положення м. Харкова, транскордонні наслідки від реалізації рішень Програми для довкілля, у тому числі здоров’я населення, не очікуються.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5. Виправдані альтернативи, які необхідно розглянути, у тому числі, якщо документ державного планування не буде затверджено</w:t>
      </w:r>
    </w:p>
    <w:p w:rsidR="00882D14" w:rsidRPr="00295C41" w:rsidRDefault="00882D14" w:rsidP="00295C41">
      <w:pPr>
        <w:shd w:val="clear" w:color="auto" w:fill="FFFFFF"/>
        <w:spacing w:after="0" w:line="240" w:lineRule="auto"/>
        <w:ind w:firstLine="567"/>
        <w:contextualSpacing/>
        <w:jc w:val="both"/>
        <w:rPr>
          <w:rFonts w:ascii="Times New Roman" w:hAnsi="Times New Roman"/>
          <w:b/>
          <w:bCs/>
          <w:sz w:val="28"/>
          <w:szCs w:val="28"/>
          <w:lang w:val="uk-UA" w:eastAsia="ru-RU"/>
        </w:rPr>
      </w:pPr>
    </w:p>
    <w:p w:rsidR="003B721B" w:rsidRPr="00295C41" w:rsidRDefault="003B721B" w:rsidP="00295C41">
      <w:pPr>
        <w:pStyle w:val="a3"/>
        <w:shd w:val="clear" w:color="auto" w:fill="FFFFFF"/>
        <w:spacing w:before="0" w:beforeAutospacing="0" w:after="0" w:afterAutospacing="0"/>
        <w:ind w:firstLine="567"/>
        <w:jc w:val="both"/>
        <w:textAlignment w:val="baseline"/>
        <w:rPr>
          <w:sz w:val="28"/>
          <w:szCs w:val="28"/>
          <w:lang w:val="uk-UA"/>
        </w:rPr>
      </w:pPr>
      <w:r w:rsidRPr="00295C41">
        <w:rPr>
          <w:sz w:val="28"/>
          <w:szCs w:val="28"/>
          <w:lang w:val="uk-UA"/>
        </w:rPr>
        <w:t>Зважаючи комплексність рішень проєкту Програми, що обумовлюється необхідністю виконання стратегічних цілей Програми, призначених для різних видів промислово-виробничої, соціальної, рекреаційної, комунікаційної діяльності, здійснюється розгляд виправданих альтернатив планованих рішень.</w:t>
      </w:r>
    </w:p>
    <w:p w:rsidR="003B721B" w:rsidRPr="00295C41" w:rsidRDefault="003B721B" w:rsidP="00295C41">
      <w:pPr>
        <w:pStyle w:val="a3"/>
        <w:shd w:val="clear" w:color="auto" w:fill="FFFFFF"/>
        <w:spacing w:before="0" w:beforeAutospacing="0" w:after="0" w:afterAutospacing="0"/>
        <w:ind w:firstLine="567"/>
        <w:jc w:val="both"/>
        <w:textAlignment w:val="baseline"/>
        <w:rPr>
          <w:sz w:val="28"/>
          <w:szCs w:val="28"/>
          <w:lang w:val="uk-UA"/>
        </w:rPr>
      </w:pPr>
      <w:r w:rsidRPr="00295C41">
        <w:rPr>
          <w:sz w:val="28"/>
          <w:szCs w:val="28"/>
          <w:lang w:val="uk-UA"/>
        </w:rPr>
        <w:t>При впровадженні заходів Програми, у порівнянні із існуючим станом, очікується позитивний вплив на навколишнє природне середовище, у тому числі на здоров’я населення.</w:t>
      </w:r>
    </w:p>
    <w:p w:rsidR="003B721B" w:rsidRPr="00295C41" w:rsidRDefault="003B721B" w:rsidP="00295C41">
      <w:pPr>
        <w:pStyle w:val="a3"/>
        <w:shd w:val="clear" w:color="auto" w:fill="FFFFFF"/>
        <w:spacing w:before="0" w:beforeAutospacing="0" w:after="0" w:afterAutospacing="0"/>
        <w:ind w:firstLine="567"/>
        <w:jc w:val="both"/>
        <w:textAlignment w:val="baseline"/>
        <w:rPr>
          <w:sz w:val="28"/>
          <w:szCs w:val="28"/>
          <w:lang w:val="uk-UA"/>
        </w:rPr>
      </w:pPr>
      <w:r w:rsidRPr="00295C41">
        <w:rPr>
          <w:sz w:val="28"/>
          <w:szCs w:val="28"/>
          <w:lang w:val="uk-UA"/>
        </w:rPr>
        <w:t>Найсприятливішим варіантом буде затвердження запропонованої Програми.</w:t>
      </w:r>
    </w:p>
    <w:p w:rsidR="00882D14" w:rsidRPr="00295C41" w:rsidRDefault="003B721B" w:rsidP="00882D14">
      <w:pPr>
        <w:pStyle w:val="a3"/>
        <w:shd w:val="clear" w:color="auto" w:fill="FFFFFF"/>
        <w:spacing w:before="0" w:beforeAutospacing="0" w:after="0" w:afterAutospacing="0"/>
        <w:ind w:firstLine="567"/>
        <w:jc w:val="both"/>
        <w:textAlignment w:val="baseline"/>
        <w:rPr>
          <w:sz w:val="28"/>
          <w:szCs w:val="28"/>
          <w:lang w:val="uk-UA"/>
        </w:rPr>
      </w:pPr>
      <w:r w:rsidRPr="00295C41">
        <w:rPr>
          <w:sz w:val="28"/>
          <w:szCs w:val="28"/>
          <w:lang w:val="uk-UA"/>
        </w:rPr>
        <w:t xml:space="preserve">Проте в процесі здійснення стратегічної екологічної оцінки буде </w:t>
      </w:r>
      <w:r w:rsidR="00882D14">
        <w:rPr>
          <w:sz w:val="28"/>
          <w:szCs w:val="28"/>
          <w:lang w:val="uk-UA"/>
        </w:rPr>
        <w:t>розглянуто наступну альтернативу</w:t>
      </w:r>
      <w:r w:rsidRPr="00295C41">
        <w:rPr>
          <w:sz w:val="28"/>
          <w:szCs w:val="28"/>
          <w:lang w:val="uk-UA"/>
        </w:rPr>
        <w:t>:</w:t>
      </w:r>
    </w:p>
    <w:p w:rsidR="003B721B" w:rsidRPr="00295C41" w:rsidRDefault="003B721B" w:rsidP="00295C41">
      <w:pPr>
        <w:pStyle w:val="a3"/>
        <w:shd w:val="clear" w:color="auto" w:fill="FFFFFF"/>
        <w:spacing w:before="0" w:beforeAutospacing="0" w:after="0" w:afterAutospacing="0"/>
        <w:ind w:firstLine="567"/>
        <w:jc w:val="both"/>
        <w:textAlignment w:val="baseline"/>
        <w:rPr>
          <w:sz w:val="28"/>
          <w:szCs w:val="28"/>
          <w:lang w:val="uk-UA"/>
        </w:rPr>
      </w:pPr>
      <w:r w:rsidRPr="00295C41">
        <w:rPr>
          <w:sz w:val="28"/>
          <w:szCs w:val="28"/>
          <w:lang w:val="uk-UA"/>
        </w:rPr>
        <w:t>«Нульовий сценарій»</w:t>
      </w:r>
      <w:r>
        <w:rPr>
          <w:sz w:val="28"/>
          <w:szCs w:val="28"/>
          <w:lang w:val="uk-UA"/>
        </w:rPr>
        <w:t> –</w:t>
      </w:r>
      <w:r w:rsidRPr="00295C41">
        <w:rPr>
          <w:sz w:val="28"/>
          <w:szCs w:val="28"/>
          <w:lang w:val="uk-UA"/>
        </w:rPr>
        <w:t xml:space="preserve"> тобто опис, прогнозування та оцінка ситуації </w:t>
      </w:r>
      <w:r w:rsidRPr="00295C41">
        <w:rPr>
          <w:sz w:val="28"/>
          <w:szCs w:val="28"/>
          <w:lang w:val="uk-UA"/>
        </w:rPr>
        <w:br/>
        <w:t>у випадку незатвердження зазначеного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6. Дослідження, які необхідно провести, методи і критерії, </w:t>
      </w:r>
      <w:r w:rsidRPr="00295C41">
        <w:rPr>
          <w:rFonts w:ascii="Times New Roman" w:hAnsi="Times New Roman"/>
          <w:b/>
          <w:bCs/>
          <w:sz w:val="28"/>
          <w:szCs w:val="28"/>
          <w:lang w:val="uk-UA" w:eastAsia="ru-RU"/>
        </w:rPr>
        <w:br/>
        <w:t>що використовуватимуться під час стратегічної екологічної оцінки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Під час проведення стратегічної екологічної оцінки наслідків виконання документів державного планування для довкілля, у тому числі для здоров’я населення, будуть використовуватись такі аналітичні методи: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порівняльний аналіз;</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аналіз тенденцій;</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SWOT-аналіз;</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цільовий аналіз та інші.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Також будуть використані такі форми участі громадськості, </w:t>
      </w:r>
      <w:r w:rsidRPr="00295C41">
        <w:rPr>
          <w:rFonts w:ascii="Times New Roman" w:hAnsi="Times New Roman"/>
          <w:sz w:val="28"/>
          <w:szCs w:val="28"/>
          <w:lang w:val="uk-UA" w:eastAsia="ru-RU"/>
        </w:rPr>
        <w:br/>
        <w:t>як інформування, консультування, обговорення та інші.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Для підготовки звіту передбачається використовувати регіональну доповідь про стан навколишнього природного середовища міста Харкова </w:t>
      </w:r>
      <w:r w:rsidRPr="00295C41">
        <w:rPr>
          <w:rFonts w:ascii="Times New Roman" w:hAnsi="Times New Roman"/>
          <w:sz w:val="28"/>
          <w:szCs w:val="28"/>
          <w:lang w:val="uk-UA" w:eastAsia="ru-RU"/>
        </w:rPr>
        <w:br/>
        <w:t xml:space="preserve">та Харківської області, екологічний паспорт області, статистичну інформацію щодо стану довкілля та здоров’я населення, дані моніторингу існуючого стану </w:t>
      </w:r>
      <w:r w:rsidRPr="00295C41">
        <w:rPr>
          <w:rFonts w:ascii="Times New Roman" w:hAnsi="Times New Roman"/>
          <w:sz w:val="28"/>
          <w:szCs w:val="28"/>
          <w:lang w:val="uk-UA" w:eastAsia="ru-RU"/>
        </w:rPr>
        <w:lastRenderedPageBreak/>
        <w:t xml:space="preserve">довкілля (кліматичні, метеорологічні, гідрологічні спостереження, дані </w:t>
      </w:r>
      <w:r>
        <w:rPr>
          <w:rFonts w:ascii="Times New Roman" w:hAnsi="Times New Roman"/>
          <w:sz w:val="28"/>
          <w:szCs w:val="28"/>
          <w:lang w:val="uk-UA" w:eastAsia="ru-RU"/>
        </w:rPr>
        <w:br/>
      </w:r>
      <w:r w:rsidRPr="00295C41">
        <w:rPr>
          <w:rFonts w:ascii="Times New Roman" w:hAnsi="Times New Roman"/>
          <w:sz w:val="28"/>
          <w:szCs w:val="28"/>
          <w:lang w:val="uk-UA" w:eastAsia="ru-RU"/>
        </w:rPr>
        <w:t>про фонове забруднення тощо), іншу доступну інформацію.</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t xml:space="preserve">7. Заходи, які передбачається розглянути для запобігання, зменшення </w:t>
      </w:r>
      <w:r w:rsidRPr="00295C41">
        <w:rPr>
          <w:rFonts w:ascii="Times New Roman" w:hAnsi="Times New Roman"/>
          <w:b/>
          <w:bCs/>
          <w:sz w:val="28"/>
          <w:szCs w:val="28"/>
          <w:lang w:val="uk-UA" w:eastAsia="ru-RU"/>
        </w:rPr>
        <w:br/>
        <w:t>та пом’якшення негативних наслідків виконання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Згідно з Законом України «Про охорону навколишнього природного середовища» встановлено використання природних ресурсів громадянами, підприємствами, установами та організаціями з додержанням обов’язкових екологічних вимог:</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а) раціонального й економного використання природних ресурсів на основі широкого застосування новітніх технологій;</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б) здійснення заходів щодо запобігання забрудненню та виснаженню природних ресурсів, негативному впливу на стан навколишнього природного середовища;</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в) здійснення заходів щодо відтворення відновлюваних природних ресурсів;</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й безпеку здоров’я населення;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д) збереження територій і об’єктів природно-заповідного фонду, а також інших територій, що підлягають особливій охороні;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е) здійснення господарської та іншої діяльності без порушення екологічних прав інших осіб;</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є) здійснення заходів щодо збереження й невиснажливого використання біологічного різноманіття під час провадження діяльності, пов’язаної </w:t>
      </w:r>
      <w:r w:rsidRPr="00295C41">
        <w:rPr>
          <w:rFonts w:ascii="Times New Roman" w:hAnsi="Times New Roman"/>
          <w:sz w:val="28"/>
          <w:szCs w:val="28"/>
          <w:lang w:val="uk-UA" w:eastAsia="ru-RU"/>
        </w:rPr>
        <w:br/>
        <w:t>з поводженням з генетично модифікованими організмами.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Також буде враховано заходи щодо раціонального використання природних ресурсів, збереження особливо цінних та унікальних природних комплексів і забезпечення екологічної безпеки, які передбачені іншими законодавчими актами у сфері охорони довкілля.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забезпечення санітарного та епідемічного благополуччя населення».</w:t>
      </w:r>
    </w:p>
    <w:p w:rsidR="00882D14" w:rsidRDefault="00882D14" w:rsidP="00EE1010">
      <w:pPr>
        <w:spacing w:after="0" w:line="240" w:lineRule="auto"/>
        <w:ind w:firstLine="567"/>
        <w:jc w:val="both"/>
        <w:rPr>
          <w:rFonts w:ascii="Times New Roman" w:hAnsi="Times New Roman"/>
          <w:b/>
          <w:bCs/>
          <w:sz w:val="28"/>
          <w:szCs w:val="28"/>
          <w:lang w:val="uk-UA" w:eastAsia="ru-RU"/>
        </w:rPr>
      </w:pPr>
    </w:p>
    <w:p w:rsidR="003B721B" w:rsidRDefault="00882D14" w:rsidP="00EE1010">
      <w:pPr>
        <w:spacing w:after="0" w:line="240" w:lineRule="auto"/>
        <w:ind w:firstLine="567"/>
        <w:jc w:val="both"/>
        <w:rPr>
          <w:rFonts w:ascii="Times New Roman" w:hAnsi="Times New Roman"/>
          <w:b/>
          <w:bCs/>
          <w:sz w:val="28"/>
          <w:szCs w:val="28"/>
          <w:lang w:val="uk-UA" w:eastAsia="ru-RU"/>
        </w:rPr>
      </w:pPr>
      <w:r>
        <w:rPr>
          <w:rFonts w:ascii="Times New Roman" w:hAnsi="Times New Roman"/>
          <w:b/>
          <w:bCs/>
          <w:sz w:val="28"/>
          <w:szCs w:val="28"/>
          <w:lang w:val="uk-UA" w:eastAsia="ru-RU"/>
        </w:rPr>
        <w:br w:type="page"/>
      </w:r>
      <w:r w:rsidR="003B721B" w:rsidRPr="00295C41">
        <w:rPr>
          <w:rFonts w:ascii="Times New Roman" w:hAnsi="Times New Roman"/>
          <w:b/>
          <w:bCs/>
          <w:sz w:val="28"/>
          <w:szCs w:val="28"/>
          <w:lang w:val="uk-UA" w:eastAsia="ru-RU"/>
        </w:rPr>
        <w:lastRenderedPageBreak/>
        <w:t>8. Пропозиції щодо структури та змісту звіту про стратегічну екологічну оцінку</w:t>
      </w:r>
    </w:p>
    <w:p w:rsidR="003B721B" w:rsidRPr="00295C41" w:rsidRDefault="003B721B" w:rsidP="00295C41">
      <w:pPr>
        <w:spacing w:after="0" w:line="240" w:lineRule="auto"/>
        <w:jc w:val="both"/>
        <w:rPr>
          <w:rFonts w:ascii="Times New Roman" w:hAnsi="Times New Roman"/>
          <w:b/>
          <w:bCs/>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Звіт про стратегічну екологічну оцінку буде складено до затвердження документів державного планування відповідно до статті 11 Закону України «Про стратегічну екологічну оцінку».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Передбачається така структура та зміст звіту про стратегічну екологічну оцінку:</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1) зміст та основні цілі документа державного планування, його зв’язок </w:t>
      </w:r>
      <w:r w:rsidRPr="00295C41">
        <w:rPr>
          <w:rFonts w:ascii="Times New Roman" w:hAnsi="Times New Roman"/>
          <w:sz w:val="28"/>
          <w:szCs w:val="28"/>
          <w:lang w:val="uk-UA" w:eastAsia="ru-RU"/>
        </w:rPr>
        <w:br/>
        <w:t>з іншими документами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2)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3) характеристика стану довкілля, умов життєдіяльності населення та стану його здоров’я на територіях, які ймовірно зазнають впливу </w:t>
      </w:r>
      <w:r w:rsidRPr="00295C41">
        <w:rPr>
          <w:rFonts w:ascii="Times New Roman" w:hAnsi="Times New Roman"/>
          <w:sz w:val="28"/>
          <w:szCs w:val="28"/>
          <w:lang w:val="uk-UA" w:eastAsia="ru-RU"/>
        </w:rPr>
        <w:br/>
        <w:t>(за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w:t>
      </w:r>
      <w:r w:rsidRPr="00295C41">
        <w:rPr>
          <w:rFonts w:ascii="Times New Roman" w:hAnsi="Times New Roman"/>
          <w:sz w:val="28"/>
          <w:szCs w:val="28"/>
          <w:lang w:val="uk-UA" w:eastAsia="ru-RU"/>
        </w:rPr>
        <w:br/>
        <w:t>з природоохоронним статусом (за адміністративними даними, статистичною інформацією та результатами досліджень);</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5) зобов’язання у сфері охорони довкілля, у тому числі пов’язані </w:t>
      </w:r>
      <w:r w:rsidRPr="00295C41">
        <w:rPr>
          <w:rFonts w:ascii="Times New Roman" w:hAnsi="Times New Roman"/>
          <w:sz w:val="28"/>
          <w:szCs w:val="28"/>
          <w:lang w:val="uk-UA" w:eastAsia="ru-RU"/>
        </w:rPr>
        <w:br/>
        <w:t xml:space="preserve">із запобіганням негативному впливу на здоров’я населення, встановлені </w:t>
      </w:r>
      <w:r w:rsidRPr="00295C41">
        <w:rPr>
          <w:rFonts w:ascii="Times New Roman" w:hAnsi="Times New Roman"/>
          <w:sz w:val="28"/>
          <w:szCs w:val="28"/>
          <w:lang w:val="uk-UA" w:eastAsia="ru-RU"/>
        </w:rPr>
        <w:br/>
        <w:t>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6) опис наслідків для довкілля, у тому числі для здоров’я населення, у тому числі вторинних, кумулятивних, синергічних, коротко-, середньо- </w:t>
      </w:r>
      <w:r w:rsidRPr="00295C41">
        <w:rPr>
          <w:rFonts w:ascii="Times New Roman" w:hAnsi="Times New Roman"/>
          <w:sz w:val="28"/>
          <w:szCs w:val="28"/>
          <w:lang w:val="uk-UA" w:eastAsia="ru-RU"/>
        </w:rPr>
        <w:br/>
        <w:t xml:space="preserve">та довгострокових (1, 3-5 та 10-15 років відповідно, а за необхідності – </w:t>
      </w:r>
      <w:r w:rsidRPr="00295C41">
        <w:rPr>
          <w:rFonts w:ascii="Times New Roman" w:hAnsi="Times New Roman"/>
          <w:sz w:val="28"/>
          <w:szCs w:val="28"/>
          <w:lang w:val="uk-UA" w:eastAsia="ru-RU"/>
        </w:rPr>
        <w:br/>
        <w:t>50-100 років), постійних і тимчасових, позитивних і негативних наслідків;</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7) заходи, що передбачається вжити для запобігання, зменшення </w:t>
      </w:r>
      <w:r w:rsidRPr="00295C41">
        <w:rPr>
          <w:rFonts w:ascii="Times New Roman" w:hAnsi="Times New Roman"/>
          <w:sz w:val="28"/>
          <w:szCs w:val="28"/>
          <w:lang w:val="uk-UA" w:eastAsia="ru-RU"/>
        </w:rPr>
        <w:br/>
        <w:t>та пом’якшення негативних наслідків виконання документа державного планування;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10) опис ймовірних транскордонних наслідків для довкілля, у тому числі для здоров’я населення (за наявності);</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11) резюме нетехнічного характеру інформації, передбаченої пунктами </w:t>
      </w:r>
      <w:r w:rsidRPr="00295C41">
        <w:rPr>
          <w:rFonts w:ascii="Times New Roman" w:hAnsi="Times New Roman"/>
          <w:sz w:val="28"/>
          <w:szCs w:val="28"/>
          <w:lang w:val="uk-UA" w:eastAsia="ru-RU"/>
        </w:rPr>
        <w:br/>
        <w:t>1-10 цієї частини, розраховане на широку аудиторію.</w:t>
      </w:r>
    </w:p>
    <w:p w:rsidR="003B721B" w:rsidRPr="00295C41" w:rsidRDefault="003B721B" w:rsidP="00295C41">
      <w:pPr>
        <w:shd w:val="clear" w:color="auto" w:fill="FFFFFF"/>
        <w:spacing w:after="0" w:line="240" w:lineRule="auto"/>
        <w:ind w:firstLine="567"/>
        <w:contextualSpacing/>
        <w:jc w:val="both"/>
        <w:rPr>
          <w:rFonts w:ascii="Times New Roman" w:hAnsi="Times New Roman"/>
          <w:b/>
          <w:bCs/>
          <w:sz w:val="28"/>
          <w:szCs w:val="28"/>
          <w:lang w:val="uk-UA" w:eastAsia="ru-RU"/>
        </w:rPr>
      </w:pPr>
      <w:r w:rsidRPr="00295C41">
        <w:rPr>
          <w:rFonts w:ascii="Times New Roman" w:hAnsi="Times New Roman"/>
          <w:b/>
          <w:bCs/>
          <w:sz w:val="28"/>
          <w:szCs w:val="28"/>
          <w:lang w:val="uk-UA" w:eastAsia="ru-RU"/>
        </w:rPr>
        <w:lastRenderedPageBreak/>
        <w:t xml:space="preserve">9. Орган, до якого подаються зауваження і пропозиції, та строки </w:t>
      </w:r>
      <w:r w:rsidRPr="00295C41">
        <w:rPr>
          <w:rFonts w:ascii="Times New Roman" w:hAnsi="Times New Roman"/>
          <w:b/>
          <w:bCs/>
          <w:sz w:val="28"/>
          <w:szCs w:val="28"/>
          <w:lang w:val="uk-UA" w:eastAsia="ru-RU"/>
        </w:rPr>
        <w:br/>
        <w:t>їх подання</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Зауваження та пропозиції до Заяви про визначення обсягу стратегічної екологічної оцінки проєкту Програми економічного та соціального розвитку м.</w:t>
      </w:r>
      <w:r w:rsidRPr="00295C41">
        <w:rPr>
          <w:rFonts w:ascii="Times New Roman" w:hAnsi="Times New Roman"/>
          <w:sz w:val="28"/>
          <w:szCs w:val="28"/>
          <w:lang w:val="uk-UA"/>
        </w:rPr>
        <w:t> </w:t>
      </w:r>
      <w:r w:rsidRPr="00295C41">
        <w:rPr>
          <w:rFonts w:ascii="Times New Roman" w:hAnsi="Times New Roman"/>
          <w:sz w:val="28"/>
          <w:szCs w:val="28"/>
          <w:lang w:val="uk-UA" w:eastAsia="ru-RU"/>
        </w:rPr>
        <w:t>Харкова на 2021 рік надаються до Департаменту економіки та комунального майна Харківської міської ради.</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Адреса: 61003, м. Харків, майдан Конституції, 7</w:t>
      </w:r>
    </w:p>
    <w:p w:rsidR="003B721B"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Адреса електронної пошти: </w:t>
      </w:r>
      <w:hyperlink r:id="rId5" w:history="1">
        <w:r w:rsidRPr="00C53E24">
          <w:rPr>
            <w:rStyle w:val="a5"/>
            <w:rFonts w:ascii="Times New Roman" w:hAnsi="Times New Roman"/>
            <w:sz w:val="28"/>
            <w:szCs w:val="28"/>
            <w:lang w:val="uk-UA" w:eastAsia="ru-RU"/>
          </w:rPr>
          <w:t>dekm@citynet.kharkov.ua</w:t>
        </w:r>
      </w:hyperlink>
      <w:r>
        <w:rPr>
          <w:rFonts w:ascii="Times New Roman" w:hAnsi="Times New Roman"/>
          <w:sz w:val="28"/>
          <w:szCs w:val="28"/>
          <w:lang w:val="uk-UA" w:eastAsia="ru-RU"/>
        </w:rPr>
        <w:t xml:space="preserve"> </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Телефони для довідок: (057) 731 60 98, (057) 760 75 90.</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 xml:space="preserve">Відповідальна особа: </w:t>
      </w:r>
      <w:proofErr w:type="spellStart"/>
      <w:r w:rsidRPr="00295C41">
        <w:rPr>
          <w:rFonts w:ascii="Times New Roman" w:hAnsi="Times New Roman"/>
          <w:sz w:val="28"/>
          <w:szCs w:val="28"/>
          <w:lang w:val="uk-UA" w:eastAsia="ru-RU"/>
        </w:rPr>
        <w:t>Фомичова</w:t>
      </w:r>
      <w:proofErr w:type="spellEnd"/>
      <w:r w:rsidRPr="00295C41">
        <w:rPr>
          <w:rFonts w:ascii="Times New Roman" w:hAnsi="Times New Roman"/>
          <w:sz w:val="28"/>
          <w:szCs w:val="28"/>
          <w:lang w:val="uk-UA" w:eastAsia="ru-RU"/>
        </w:rPr>
        <w:t xml:space="preserve"> Віта Григорівна, </w:t>
      </w:r>
      <w:proofErr w:type="spellStart"/>
      <w:r w:rsidRPr="00295C41">
        <w:rPr>
          <w:rFonts w:ascii="Times New Roman" w:hAnsi="Times New Roman"/>
          <w:sz w:val="28"/>
          <w:szCs w:val="28"/>
          <w:lang w:val="uk-UA" w:eastAsia="ru-RU"/>
        </w:rPr>
        <w:t>тел</w:t>
      </w:r>
      <w:proofErr w:type="spellEnd"/>
      <w:r w:rsidRPr="00295C41">
        <w:rPr>
          <w:rFonts w:ascii="Times New Roman" w:hAnsi="Times New Roman"/>
          <w:sz w:val="28"/>
          <w:szCs w:val="28"/>
          <w:lang w:val="uk-UA" w:eastAsia="ru-RU"/>
        </w:rPr>
        <w:t>. (057) 760 73 30.</w:t>
      </w:r>
    </w:p>
    <w:p w:rsidR="003B721B" w:rsidRPr="00295C41" w:rsidRDefault="003B721B" w:rsidP="00295C41">
      <w:pPr>
        <w:shd w:val="clear" w:color="auto" w:fill="FFFFFF"/>
        <w:spacing w:after="0" w:line="240" w:lineRule="auto"/>
        <w:ind w:firstLine="567"/>
        <w:contextualSpacing/>
        <w:jc w:val="both"/>
        <w:rPr>
          <w:rFonts w:ascii="Times New Roman" w:hAnsi="Times New Roman"/>
          <w:sz w:val="28"/>
          <w:szCs w:val="28"/>
          <w:lang w:val="uk-UA" w:eastAsia="ru-RU"/>
        </w:rPr>
      </w:pPr>
      <w:r w:rsidRPr="00295C41">
        <w:rPr>
          <w:rFonts w:ascii="Times New Roman" w:hAnsi="Times New Roman"/>
          <w:sz w:val="28"/>
          <w:szCs w:val="28"/>
          <w:lang w:val="uk-UA" w:eastAsia="ru-RU"/>
        </w:rPr>
        <w:t>Строк подання зауважень і пропозицій становить 15</w:t>
      </w:r>
      <w:r>
        <w:rPr>
          <w:rFonts w:ascii="Times New Roman" w:hAnsi="Times New Roman"/>
          <w:sz w:val="28"/>
          <w:szCs w:val="28"/>
          <w:lang w:val="uk-UA" w:eastAsia="ru-RU"/>
        </w:rPr>
        <w:t> </w:t>
      </w:r>
      <w:r w:rsidRPr="00295C41">
        <w:rPr>
          <w:rFonts w:ascii="Times New Roman" w:hAnsi="Times New Roman"/>
          <w:sz w:val="28"/>
          <w:szCs w:val="28"/>
          <w:lang w:val="uk-UA" w:eastAsia="ru-RU"/>
        </w:rPr>
        <w:t xml:space="preserve">днів з дати оприлюднення </w:t>
      </w:r>
      <w:r w:rsidR="00613297">
        <w:rPr>
          <w:rFonts w:ascii="Times New Roman" w:hAnsi="Times New Roman"/>
          <w:sz w:val="28"/>
          <w:szCs w:val="28"/>
          <w:lang w:val="uk-UA" w:eastAsia="ru-RU"/>
        </w:rPr>
        <w:t>Заяви про визначення обсягу СЕО.</w:t>
      </w:r>
    </w:p>
    <w:p w:rsidR="003B721B" w:rsidRPr="00295C41" w:rsidRDefault="003B721B" w:rsidP="00295C41">
      <w:pPr>
        <w:spacing w:after="0" w:line="240" w:lineRule="auto"/>
        <w:ind w:firstLine="567"/>
        <w:contextualSpacing/>
        <w:rPr>
          <w:rFonts w:ascii="Times New Roman" w:hAnsi="Times New Roman"/>
          <w:sz w:val="28"/>
          <w:szCs w:val="28"/>
          <w:lang w:val="uk-UA"/>
        </w:rPr>
      </w:pPr>
      <w:bookmarkStart w:id="0" w:name="_GoBack"/>
      <w:bookmarkEnd w:id="0"/>
    </w:p>
    <w:sectPr w:rsidR="003B721B" w:rsidRPr="00295C41" w:rsidSect="009A413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1BE"/>
    <w:multiLevelType w:val="hybridMultilevel"/>
    <w:tmpl w:val="70A28D0C"/>
    <w:lvl w:ilvl="0" w:tplc="467A136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55D0C49"/>
    <w:multiLevelType w:val="hybridMultilevel"/>
    <w:tmpl w:val="F6BAEB36"/>
    <w:lvl w:ilvl="0" w:tplc="A2C02E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7381A3E"/>
    <w:multiLevelType w:val="hybridMultilevel"/>
    <w:tmpl w:val="1BB07D3C"/>
    <w:lvl w:ilvl="0" w:tplc="1B4440D2">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ED66112"/>
    <w:multiLevelType w:val="hybridMultilevel"/>
    <w:tmpl w:val="D8B0847E"/>
    <w:lvl w:ilvl="0" w:tplc="D338BD4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F624906"/>
    <w:multiLevelType w:val="hybridMultilevel"/>
    <w:tmpl w:val="53F080D6"/>
    <w:lvl w:ilvl="0" w:tplc="16B80F28">
      <w:numFmt w:val="bullet"/>
      <w:lvlText w:val="−"/>
      <w:lvlJc w:val="left"/>
      <w:pPr>
        <w:ind w:left="720" w:hanging="360"/>
      </w:pPr>
      <w:rPr>
        <w:rFonts w:ascii="Times New Roman" w:eastAsia="Times New Roman" w:hAnsi="Times New Roman" w:hint="default"/>
        <w:color w:val="2222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7B3163"/>
    <w:multiLevelType w:val="hybridMultilevel"/>
    <w:tmpl w:val="E1A4D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EC"/>
    <w:rsid w:val="00015B34"/>
    <w:rsid w:val="000223BB"/>
    <w:rsid w:val="00030436"/>
    <w:rsid w:val="00065A61"/>
    <w:rsid w:val="00072A74"/>
    <w:rsid w:val="000814B9"/>
    <w:rsid w:val="000A31E3"/>
    <w:rsid w:val="000A57AC"/>
    <w:rsid w:val="000E08FE"/>
    <w:rsid w:val="00133D41"/>
    <w:rsid w:val="00160091"/>
    <w:rsid w:val="001B71D7"/>
    <w:rsid w:val="001D1763"/>
    <w:rsid w:val="001D7B46"/>
    <w:rsid w:val="002102C7"/>
    <w:rsid w:val="0026060C"/>
    <w:rsid w:val="00295C41"/>
    <w:rsid w:val="002C3210"/>
    <w:rsid w:val="002F5DE4"/>
    <w:rsid w:val="00380269"/>
    <w:rsid w:val="003916F2"/>
    <w:rsid w:val="003B4321"/>
    <w:rsid w:val="003B721B"/>
    <w:rsid w:val="003F406E"/>
    <w:rsid w:val="00415428"/>
    <w:rsid w:val="004326EA"/>
    <w:rsid w:val="0043713F"/>
    <w:rsid w:val="00437D33"/>
    <w:rsid w:val="004877BE"/>
    <w:rsid w:val="004C01DE"/>
    <w:rsid w:val="004C6339"/>
    <w:rsid w:val="0053576F"/>
    <w:rsid w:val="00537FAF"/>
    <w:rsid w:val="00550954"/>
    <w:rsid w:val="00572263"/>
    <w:rsid w:val="005762BD"/>
    <w:rsid w:val="00580FF0"/>
    <w:rsid w:val="005A3644"/>
    <w:rsid w:val="005B404F"/>
    <w:rsid w:val="005C791B"/>
    <w:rsid w:val="005E525C"/>
    <w:rsid w:val="00613297"/>
    <w:rsid w:val="006503DA"/>
    <w:rsid w:val="00696897"/>
    <w:rsid w:val="006A65FC"/>
    <w:rsid w:val="006F723A"/>
    <w:rsid w:val="00724C90"/>
    <w:rsid w:val="007E182E"/>
    <w:rsid w:val="007F235A"/>
    <w:rsid w:val="008149AA"/>
    <w:rsid w:val="00821E98"/>
    <w:rsid w:val="008239EC"/>
    <w:rsid w:val="00835C03"/>
    <w:rsid w:val="00840EF2"/>
    <w:rsid w:val="00864BB6"/>
    <w:rsid w:val="00882D14"/>
    <w:rsid w:val="00897B0F"/>
    <w:rsid w:val="008D0E66"/>
    <w:rsid w:val="008E1291"/>
    <w:rsid w:val="0094359C"/>
    <w:rsid w:val="0097006E"/>
    <w:rsid w:val="009A413B"/>
    <w:rsid w:val="009B7ADE"/>
    <w:rsid w:val="009C65B6"/>
    <w:rsid w:val="00A765C2"/>
    <w:rsid w:val="00AA515E"/>
    <w:rsid w:val="00AE1F3E"/>
    <w:rsid w:val="00B04297"/>
    <w:rsid w:val="00B4239D"/>
    <w:rsid w:val="00B52E85"/>
    <w:rsid w:val="00B62F32"/>
    <w:rsid w:val="00B72278"/>
    <w:rsid w:val="00B82E50"/>
    <w:rsid w:val="00BB3D07"/>
    <w:rsid w:val="00BB58FF"/>
    <w:rsid w:val="00BD2046"/>
    <w:rsid w:val="00BF7021"/>
    <w:rsid w:val="00C26BAA"/>
    <w:rsid w:val="00C30305"/>
    <w:rsid w:val="00C53E24"/>
    <w:rsid w:val="00C914BD"/>
    <w:rsid w:val="00CF168F"/>
    <w:rsid w:val="00D26A59"/>
    <w:rsid w:val="00D624B2"/>
    <w:rsid w:val="00D728D8"/>
    <w:rsid w:val="00DD1725"/>
    <w:rsid w:val="00E2110F"/>
    <w:rsid w:val="00ED2587"/>
    <w:rsid w:val="00EE1010"/>
    <w:rsid w:val="00F74971"/>
    <w:rsid w:val="00F91251"/>
    <w:rsid w:val="00F925C0"/>
    <w:rsid w:val="00FA29CB"/>
    <w:rsid w:val="00FB0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5D2BF9-073E-491A-A417-61D9153A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F3E"/>
    <w:pPr>
      <w:spacing w:after="160" w:line="259" w:lineRule="auto"/>
    </w:pPr>
    <w:rPr>
      <w:lang w:eastAsia="en-US"/>
    </w:rPr>
  </w:style>
  <w:style w:type="paragraph" w:styleId="1">
    <w:name w:val="heading 1"/>
    <w:basedOn w:val="a"/>
    <w:link w:val="10"/>
    <w:uiPriority w:val="99"/>
    <w:qFormat/>
    <w:rsid w:val="008239E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9EC"/>
    <w:rPr>
      <w:rFonts w:ascii="Times New Roman" w:hAnsi="Times New Roman" w:cs="Times New Roman"/>
      <w:b/>
      <w:bCs/>
      <w:kern w:val="36"/>
      <w:sz w:val="48"/>
      <w:szCs w:val="48"/>
      <w:lang w:eastAsia="ru-RU"/>
    </w:rPr>
  </w:style>
  <w:style w:type="paragraph" w:customStyle="1" w:styleId="g-date">
    <w:name w:val="g-date"/>
    <w:basedOn w:val="a"/>
    <w:uiPriority w:val="99"/>
    <w:rsid w:val="008239E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8239E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239EC"/>
    <w:rPr>
      <w:rFonts w:cs="Times New Roman"/>
      <w:b/>
      <w:bCs/>
    </w:rPr>
  </w:style>
  <w:style w:type="character" w:styleId="a5">
    <w:name w:val="Hyperlink"/>
    <w:basedOn w:val="a0"/>
    <w:uiPriority w:val="99"/>
    <w:semiHidden/>
    <w:rsid w:val="008239EC"/>
    <w:rPr>
      <w:rFonts w:cs="Times New Roman"/>
      <w:color w:val="0000FF"/>
      <w:u w:val="single"/>
    </w:rPr>
  </w:style>
  <w:style w:type="paragraph" w:styleId="a6">
    <w:name w:val="List Paragraph"/>
    <w:basedOn w:val="a"/>
    <w:uiPriority w:val="99"/>
    <w:qFormat/>
    <w:rsid w:val="005C791B"/>
    <w:pPr>
      <w:ind w:left="720"/>
      <w:contextualSpacing/>
    </w:pPr>
  </w:style>
  <w:style w:type="paragraph" w:styleId="a7">
    <w:name w:val="Balloon Text"/>
    <w:basedOn w:val="a"/>
    <w:link w:val="a8"/>
    <w:uiPriority w:val="99"/>
    <w:semiHidden/>
    <w:rsid w:val="00CF168F"/>
    <w:pPr>
      <w:spacing w:after="0" w:line="240" w:lineRule="auto"/>
    </w:pPr>
    <w:rPr>
      <w:rFonts w:cs="Calibri"/>
      <w:sz w:val="18"/>
      <w:szCs w:val="18"/>
    </w:rPr>
  </w:style>
  <w:style w:type="character" w:customStyle="1" w:styleId="a8">
    <w:name w:val="Текст выноски Знак"/>
    <w:basedOn w:val="a0"/>
    <w:link w:val="a7"/>
    <w:uiPriority w:val="99"/>
    <w:semiHidden/>
    <w:locked/>
    <w:rsid w:val="00CF168F"/>
    <w:rPr>
      <w:rFonts w:ascii="Calibri" w:hAnsi="Calibri" w:cs="Calibri"/>
      <w:sz w:val="18"/>
      <w:szCs w:val="18"/>
    </w:rPr>
  </w:style>
  <w:style w:type="character" w:customStyle="1" w:styleId="rvts44">
    <w:name w:val="rvts44"/>
    <w:basedOn w:val="a0"/>
    <w:uiPriority w:val="99"/>
    <w:rsid w:val="00C26BAA"/>
    <w:rPr>
      <w:rFonts w:cs="Times New Roman"/>
    </w:rPr>
  </w:style>
  <w:style w:type="paragraph" w:customStyle="1" w:styleId="rvps2">
    <w:name w:val="rvps2"/>
    <w:basedOn w:val="a"/>
    <w:uiPriority w:val="99"/>
    <w:rsid w:val="00C914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uiPriority w:val="99"/>
    <w:rsid w:val="00C914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14820">
      <w:marLeft w:val="0"/>
      <w:marRight w:val="0"/>
      <w:marTop w:val="0"/>
      <w:marBottom w:val="0"/>
      <w:divBdr>
        <w:top w:val="none" w:sz="0" w:space="0" w:color="auto"/>
        <w:left w:val="none" w:sz="0" w:space="0" w:color="auto"/>
        <w:bottom w:val="none" w:sz="0" w:space="0" w:color="auto"/>
        <w:right w:val="none" w:sz="0" w:space="0" w:color="auto"/>
      </w:divBdr>
    </w:div>
    <w:div w:id="1005014821">
      <w:marLeft w:val="0"/>
      <w:marRight w:val="0"/>
      <w:marTop w:val="0"/>
      <w:marBottom w:val="0"/>
      <w:divBdr>
        <w:top w:val="none" w:sz="0" w:space="0" w:color="auto"/>
        <w:left w:val="none" w:sz="0" w:space="0" w:color="auto"/>
        <w:bottom w:val="none" w:sz="0" w:space="0" w:color="auto"/>
        <w:right w:val="none" w:sz="0" w:space="0" w:color="auto"/>
      </w:divBdr>
    </w:div>
    <w:div w:id="1005014822">
      <w:marLeft w:val="0"/>
      <w:marRight w:val="0"/>
      <w:marTop w:val="0"/>
      <w:marBottom w:val="0"/>
      <w:divBdr>
        <w:top w:val="none" w:sz="0" w:space="0" w:color="auto"/>
        <w:left w:val="none" w:sz="0" w:space="0" w:color="auto"/>
        <w:bottom w:val="none" w:sz="0" w:space="0" w:color="auto"/>
        <w:right w:val="none" w:sz="0" w:space="0" w:color="auto"/>
      </w:divBdr>
    </w:div>
    <w:div w:id="1005014823">
      <w:marLeft w:val="0"/>
      <w:marRight w:val="0"/>
      <w:marTop w:val="0"/>
      <w:marBottom w:val="0"/>
      <w:divBdr>
        <w:top w:val="none" w:sz="0" w:space="0" w:color="auto"/>
        <w:left w:val="none" w:sz="0" w:space="0" w:color="auto"/>
        <w:bottom w:val="none" w:sz="0" w:space="0" w:color="auto"/>
        <w:right w:val="none" w:sz="0" w:space="0" w:color="auto"/>
      </w:divBdr>
    </w:div>
    <w:div w:id="100501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km@citynet.khark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 Gernokleeva</dc:creator>
  <cp:keywords/>
  <dc:description/>
  <cp:lastModifiedBy>Olga D. Miroshnichenko</cp:lastModifiedBy>
  <cp:revision>2</cp:revision>
  <cp:lastPrinted>2020-08-04T08:12:00Z</cp:lastPrinted>
  <dcterms:created xsi:type="dcterms:W3CDTF">2020-08-20T11:19:00Z</dcterms:created>
  <dcterms:modified xsi:type="dcterms:W3CDTF">2020-08-20T11:19:00Z</dcterms:modified>
</cp:coreProperties>
</file>