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EC" w:rsidRPr="00184AF1" w:rsidRDefault="00F164EC" w:rsidP="00184AF1">
      <w:pPr>
        <w:spacing w:after="0" w:line="240" w:lineRule="auto"/>
        <w:ind w:right="-1" w:firstLine="0"/>
        <w:jc w:val="center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Аналіз </w:t>
      </w:r>
    </w:p>
    <w:p w:rsidR="00F164EC" w:rsidRPr="00184AF1" w:rsidRDefault="00F164EC" w:rsidP="00184AF1">
      <w:pPr>
        <w:spacing w:after="0" w:line="240" w:lineRule="auto"/>
        <w:ind w:right="-1" w:firstLine="0"/>
        <w:jc w:val="center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регуляторного впливу </w:t>
      </w:r>
    </w:p>
    <w:p w:rsidR="00F164EC" w:rsidRPr="00184AF1" w:rsidRDefault="00F164EC" w:rsidP="00184AF1">
      <w:pPr>
        <w:spacing w:after="0" w:line="240" w:lineRule="auto"/>
        <w:ind w:right="-1" w:firstLine="0"/>
        <w:jc w:val="center"/>
        <w:rPr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>до проекту рішення сесії Харківської міської ради 7 скликання</w:t>
      </w:r>
    </w:p>
    <w:p w:rsidR="002C159E" w:rsidRDefault="00F164EC" w:rsidP="00184A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«Про </w:t>
      </w:r>
      <w:r w:rsidR="002C159E">
        <w:rPr>
          <w:b/>
          <w:bCs/>
          <w:sz w:val="28"/>
          <w:szCs w:val="28"/>
          <w:lang w:val="uk-UA"/>
        </w:rPr>
        <w:t xml:space="preserve">внесення змін до рішення 14 сесії Харківської міської ради </w:t>
      </w:r>
    </w:p>
    <w:p w:rsidR="002C159E" w:rsidRDefault="002C159E" w:rsidP="00184A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7 скликання від 20.09.2017 № 755/17 </w:t>
      </w:r>
    </w:p>
    <w:p w:rsidR="00F164EC" w:rsidRPr="00184AF1" w:rsidRDefault="002C159E" w:rsidP="00184A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«Про </w:t>
      </w:r>
      <w:r w:rsidR="00F164EC" w:rsidRPr="00184AF1">
        <w:rPr>
          <w:b/>
          <w:bCs/>
          <w:sz w:val="28"/>
          <w:szCs w:val="28"/>
          <w:lang w:val="uk-UA"/>
        </w:rPr>
        <w:t xml:space="preserve">затвердження Положення про оренду майна </w:t>
      </w:r>
    </w:p>
    <w:p w:rsidR="00F164EC" w:rsidRPr="00184AF1" w:rsidRDefault="00F164EC" w:rsidP="00184AF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>територіальної громади м. Харкова»</w:t>
      </w:r>
    </w:p>
    <w:p w:rsidR="00F164EC" w:rsidRPr="00184AF1" w:rsidRDefault="00F164EC" w:rsidP="00184A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uk-UA"/>
        </w:rPr>
      </w:pPr>
    </w:p>
    <w:p w:rsidR="00F164EC" w:rsidRDefault="00F164EC" w:rsidP="00184AF1">
      <w:pPr>
        <w:pStyle w:val="1"/>
        <w:spacing w:after="0" w:line="240" w:lineRule="auto"/>
        <w:ind w:left="257" w:right="260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I. Визначення проблеми </w:t>
      </w:r>
    </w:p>
    <w:p w:rsidR="006521DD" w:rsidRPr="006521DD" w:rsidRDefault="006521DD" w:rsidP="006521DD">
      <w:pPr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На сучасному етапі здійснення глибоких соціально-економічних перетворень, спрямованих на інтеграцію України у Європейське Співтовариство, оренда комунального майна відіграє важливу роль насамперед у забезпеченні розвитку підприємництва країни. Крім того, саме оренда комунального майна є важливим джерелом наповнення місцевого бюджету та сприяє підтримці зазначеного майна у належному стані. </w:t>
      </w:r>
    </w:p>
    <w:p w:rsidR="00A22C34" w:rsidRPr="00A22C34" w:rsidRDefault="00A22C34" w:rsidP="00A22C34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val="uk-UA"/>
        </w:rPr>
      </w:pPr>
      <w:r w:rsidRPr="00A22C34">
        <w:rPr>
          <w:bCs/>
          <w:sz w:val="28"/>
          <w:szCs w:val="28"/>
          <w:lang w:val="uk-UA"/>
        </w:rPr>
        <w:t xml:space="preserve">20.09.2017 </w:t>
      </w:r>
      <w:r w:rsidR="00F164EC" w:rsidRPr="00184AF1">
        <w:rPr>
          <w:sz w:val="28"/>
          <w:szCs w:val="28"/>
          <w:lang w:val="uk-UA"/>
        </w:rPr>
        <w:t>року 1</w:t>
      </w:r>
      <w:r w:rsidRPr="00A22C34">
        <w:rPr>
          <w:bCs/>
          <w:sz w:val="28"/>
          <w:szCs w:val="28"/>
          <w:lang w:val="uk-UA"/>
        </w:rPr>
        <w:t>4</w:t>
      </w:r>
      <w:r w:rsidR="00F164EC" w:rsidRPr="00184AF1">
        <w:rPr>
          <w:sz w:val="28"/>
          <w:szCs w:val="28"/>
          <w:lang w:val="uk-UA"/>
        </w:rPr>
        <w:t xml:space="preserve"> сесією Харківської міської ради </w:t>
      </w:r>
      <w:r w:rsidRPr="00A22C34">
        <w:rPr>
          <w:bCs/>
          <w:sz w:val="28"/>
          <w:szCs w:val="28"/>
          <w:lang w:val="uk-UA"/>
        </w:rPr>
        <w:t>7</w:t>
      </w:r>
      <w:r w:rsidR="00F164EC" w:rsidRPr="00184AF1">
        <w:rPr>
          <w:sz w:val="28"/>
          <w:szCs w:val="28"/>
          <w:lang w:val="uk-UA"/>
        </w:rPr>
        <w:t xml:space="preserve"> скликання бул</w:t>
      </w:r>
      <w:r>
        <w:rPr>
          <w:sz w:val="28"/>
          <w:szCs w:val="28"/>
          <w:lang w:val="uk-UA"/>
        </w:rPr>
        <w:t>о</w:t>
      </w:r>
      <w:r w:rsidR="00F164EC" w:rsidRPr="00184AF1">
        <w:rPr>
          <w:sz w:val="28"/>
          <w:szCs w:val="28"/>
          <w:lang w:val="uk-UA"/>
        </w:rPr>
        <w:t xml:space="preserve"> прийнят</w:t>
      </w:r>
      <w:r>
        <w:rPr>
          <w:sz w:val="28"/>
          <w:szCs w:val="28"/>
          <w:lang w:val="uk-UA"/>
        </w:rPr>
        <w:t>о</w:t>
      </w:r>
      <w:r w:rsidR="00F164EC" w:rsidRPr="00184AF1">
        <w:rPr>
          <w:sz w:val="28"/>
          <w:szCs w:val="28"/>
          <w:lang w:val="uk-UA"/>
        </w:rPr>
        <w:t xml:space="preserve"> рішення про </w:t>
      </w:r>
      <w:r w:rsidRPr="00A22C34">
        <w:rPr>
          <w:bCs/>
          <w:sz w:val="28"/>
          <w:szCs w:val="28"/>
          <w:lang w:val="uk-UA"/>
        </w:rPr>
        <w:t>затвердження Положення про оренду майна</w:t>
      </w:r>
      <w:r>
        <w:rPr>
          <w:bCs/>
          <w:sz w:val="28"/>
          <w:szCs w:val="28"/>
          <w:lang w:val="uk-UA"/>
        </w:rPr>
        <w:t xml:space="preserve"> </w:t>
      </w:r>
      <w:r w:rsidRPr="00A22C34">
        <w:rPr>
          <w:bCs/>
          <w:sz w:val="28"/>
          <w:szCs w:val="28"/>
          <w:lang w:val="uk-UA"/>
        </w:rPr>
        <w:t>територіальної громади м. Харкова</w:t>
      </w:r>
      <w:r>
        <w:rPr>
          <w:bCs/>
          <w:sz w:val="28"/>
          <w:szCs w:val="28"/>
          <w:lang w:val="uk-UA"/>
        </w:rPr>
        <w:t>.</w:t>
      </w:r>
    </w:p>
    <w:p w:rsidR="00F164EC" w:rsidRPr="00184AF1" w:rsidRDefault="00F164EC" w:rsidP="00184AF1">
      <w:pPr>
        <w:pStyle w:val="a3"/>
        <w:ind w:firstLine="567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Дан</w:t>
      </w:r>
      <w:r w:rsidR="00696821">
        <w:rPr>
          <w:sz w:val="28"/>
          <w:szCs w:val="28"/>
          <w:lang w:val="uk-UA"/>
        </w:rPr>
        <w:t>ий</w:t>
      </w:r>
      <w:r w:rsidRPr="00184AF1">
        <w:rPr>
          <w:sz w:val="28"/>
          <w:szCs w:val="28"/>
          <w:lang w:val="uk-UA"/>
        </w:rPr>
        <w:t xml:space="preserve"> регуляторн</w:t>
      </w:r>
      <w:r w:rsidR="00696821">
        <w:rPr>
          <w:sz w:val="28"/>
          <w:szCs w:val="28"/>
          <w:lang w:val="uk-UA"/>
        </w:rPr>
        <w:t>ий</w:t>
      </w:r>
      <w:r w:rsidRPr="00184AF1">
        <w:rPr>
          <w:sz w:val="28"/>
          <w:szCs w:val="28"/>
          <w:lang w:val="uk-UA"/>
        </w:rPr>
        <w:t xml:space="preserve"> акт розроблен</w:t>
      </w:r>
      <w:r w:rsidR="00696821">
        <w:rPr>
          <w:sz w:val="28"/>
          <w:szCs w:val="28"/>
          <w:lang w:val="uk-UA"/>
        </w:rPr>
        <w:t>о</w:t>
      </w:r>
      <w:r w:rsidRPr="00184AF1">
        <w:rPr>
          <w:sz w:val="28"/>
          <w:szCs w:val="28"/>
          <w:lang w:val="uk-UA"/>
        </w:rPr>
        <w:t xml:space="preserve"> відповідно до Цивільного </w:t>
      </w:r>
      <w:r>
        <w:rPr>
          <w:sz w:val="28"/>
          <w:szCs w:val="28"/>
          <w:lang w:val="uk-UA"/>
        </w:rPr>
        <w:t>к</w:t>
      </w:r>
      <w:r w:rsidRPr="00184AF1">
        <w:rPr>
          <w:sz w:val="28"/>
          <w:szCs w:val="28"/>
          <w:lang w:val="uk-UA"/>
        </w:rPr>
        <w:t>одексу України, Господарського кодексу України, Закону України «Про місцеве самоврядування в Україні», Закону України «Про оренду державного та комунального майна», інших нормативно-правових актів чинного законодавства України з метою врегулювання організаційних і майнових відносин, пов'язаних з орендою майна, що є комунальною власністю територіальної громади м. Харкова.</w:t>
      </w:r>
    </w:p>
    <w:p w:rsidR="00F164EC" w:rsidRPr="00184AF1" w:rsidRDefault="00F164EC" w:rsidP="00184AF1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Зміни, які відбуваються у законодавстві</w:t>
      </w:r>
      <w:r>
        <w:rPr>
          <w:sz w:val="28"/>
          <w:szCs w:val="28"/>
          <w:lang w:val="uk-UA"/>
        </w:rPr>
        <w:t>,</w:t>
      </w:r>
      <w:r w:rsidRPr="00184AF1">
        <w:rPr>
          <w:sz w:val="28"/>
          <w:szCs w:val="28"/>
          <w:lang w:val="uk-UA"/>
        </w:rPr>
        <w:t xml:space="preserve"> потребують відображенн</w:t>
      </w:r>
      <w:r>
        <w:rPr>
          <w:sz w:val="28"/>
          <w:szCs w:val="28"/>
          <w:lang w:val="uk-UA"/>
        </w:rPr>
        <w:t>я</w:t>
      </w:r>
      <w:r w:rsidRPr="00184AF1">
        <w:rPr>
          <w:sz w:val="28"/>
          <w:szCs w:val="28"/>
          <w:lang w:val="uk-UA"/>
        </w:rPr>
        <w:t xml:space="preserve"> у діючих регулярних актах. З метою спрощення процедури оформлення орендних відносин, забезпечення відкритості та прозорості на всіх етапах оренди, зниження фінансової </w:t>
      </w:r>
      <w:proofErr w:type="spellStart"/>
      <w:r w:rsidRPr="00184AF1">
        <w:rPr>
          <w:sz w:val="28"/>
          <w:szCs w:val="28"/>
          <w:lang w:val="uk-UA"/>
        </w:rPr>
        <w:t>навантаженості</w:t>
      </w:r>
      <w:proofErr w:type="spellEnd"/>
      <w:r w:rsidRPr="00184AF1">
        <w:rPr>
          <w:sz w:val="28"/>
          <w:szCs w:val="28"/>
          <w:lang w:val="uk-UA"/>
        </w:rPr>
        <w:t xml:space="preserve"> на орендарів, збільшення привабливості оренди, забезпечення стабільних надходжень до бюджету від оренди, уникнення ситуацій неоднозначного застосування норм чинного законодавства пропонується </w:t>
      </w:r>
      <w:proofErr w:type="spellStart"/>
      <w:r w:rsidR="00696821">
        <w:rPr>
          <w:sz w:val="28"/>
          <w:szCs w:val="28"/>
          <w:lang w:val="uk-UA"/>
        </w:rPr>
        <w:t>внести</w:t>
      </w:r>
      <w:proofErr w:type="spellEnd"/>
      <w:r w:rsidR="00696821">
        <w:rPr>
          <w:sz w:val="28"/>
          <w:szCs w:val="28"/>
          <w:lang w:val="uk-UA"/>
        </w:rPr>
        <w:t xml:space="preserve"> зміни до прийнятого </w:t>
      </w:r>
      <w:r w:rsidRPr="00184AF1">
        <w:rPr>
          <w:sz w:val="28"/>
          <w:szCs w:val="28"/>
          <w:lang w:val="uk-UA"/>
        </w:rPr>
        <w:t>Положення</w:t>
      </w:r>
      <w:r w:rsidR="00696821">
        <w:rPr>
          <w:sz w:val="28"/>
          <w:szCs w:val="28"/>
          <w:lang w:val="uk-UA"/>
        </w:rPr>
        <w:t>.</w:t>
      </w:r>
    </w:p>
    <w:p w:rsidR="00F164EC" w:rsidRPr="00184AF1" w:rsidRDefault="00F164EC" w:rsidP="00184AF1">
      <w:pPr>
        <w:spacing w:after="0" w:line="240" w:lineRule="auto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В цілому на передачу в оренду комунального майна та на надходження коштів до міського бюджету від оренди цього майна значно вплинула фінансова криза та положення в Україні: на дисципліну розрахунків суб’єктів господарювання між собою та відповідно і з міським бюджетом. З метою</w:t>
      </w:r>
      <w:r w:rsidR="00664447">
        <w:rPr>
          <w:sz w:val="28"/>
          <w:szCs w:val="28"/>
          <w:lang w:val="uk-UA"/>
        </w:rPr>
        <w:t xml:space="preserve"> виконання </w:t>
      </w:r>
      <w:r w:rsidR="006E4892">
        <w:rPr>
          <w:sz w:val="28"/>
          <w:szCs w:val="28"/>
          <w:lang w:val="uk-UA"/>
        </w:rPr>
        <w:t>положень рекомендацій адміністративної колегії Харківського обласного територіального відділення Антимонопольного комітету</w:t>
      </w:r>
      <w:r w:rsidRPr="00184AF1">
        <w:rPr>
          <w:sz w:val="28"/>
          <w:szCs w:val="28"/>
          <w:lang w:val="uk-UA"/>
        </w:rPr>
        <w:t xml:space="preserve"> </w:t>
      </w:r>
      <w:r w:rsidR="006E4892">
        <w:rPr>
          <w:sz w:val="28"/>
          <w:szCs w:val="28"/>
          <w:lang w:val="uk-UA"/>
        </w:rPr>
        <w:t xml:space="preserve">України </w:t>
      </w:r>
      <w:r w:rsidRPr="00184AF1">
        <w:rPr>
          <w:sz w:val="28"/>
          <w:szCs w:val="28"/>
          <w:lang w:val="uk-UA"/>
        </w:rPr>
        <w:t xml:space="preserve">пропонується </w:t>
      </w:r>
      <w:proofErr w:type="spellStart"/>
      <w:r w:rsidR="006E4892">
        <w:rPr>
          <w:sz w:val="28"/>
          <w:szCs w:val="28"/>
          <w:lang w:val="uk-UA"/>
        </w:rPr>
        <w:t>внести</w:t>
      </w:r>
      <w:proofErr w:type="spellEnd"/>
      <w:r w:rsidR="006E4892">
        <w:rPr>
          <w:sz w:val="28"/>
          <w:szCs w:val="28"/>
          <w:lang w:val="uk-UA"/>
        </w:rPr>
        <w:t xml:space="preserve"> зміни до додатку 2 до Положення про оренду майна територіальної громади м. Харкова – Методики розрахунку орендної плати за майно територіальної громади м. Харкова та пропорції її розподілу.</w:t>
      </w:r>
    </w:p>
    <w:p w:rsidR="00E53EB1" w:rsidRDefault="00F164EC" w:rsidP="00184AF1">
      <w:pPr>
        <w:spacing w:after="0" w:line="240" w:lineRule="auto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Так, пропонується </w:t>
      </w:r>
      <w:r w:rsidR="006E4892">
        <w:rPr>
          <w:sz w:val="28"/>
          <w:szCs w:val="28"/>
          <w:lang w:val="uk-UA"/>
        </w:rPr>
        <w:t>встановити ставку за розміщення аптек комунальної власності м. Харкова у відповідності до Методики розрахунку орендної плати за державне майно</w:t>
      </w:r>
      <w:r w:rsidR="00A11E64">
        <w:rPr>
          <w:sz w:val="28"/>
          <w:szCs w:val="28"/>
          <w:lang w:val="uk-UA"/>
        </w:rPr>
        <w:t xml:space="preserve"> та пропорції її розподілу, затвердженої постановою Кабінету Міністрів України від 4 жовтня 1995 № 786 (із змінами та доповненнями)</w:t>
      </w:r>
      <w:r w:rsidR="00E53EB1">
        <w:rPr>
          <w:sz w:val="28"/>
          <w:szCs w:val="28"/>
          <w:lang w:val="uk-UA"/>
        </w:rPr>
        <w:t>:</w:t>
      </w:r>
    </w:p>
    <w:p w:rsidR="00E53EB1" w:rsidRDefault="00E53EB1" w:rsidP="00184AF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– за розміщення аптек, що реалізують готові ліки - 8 %;</w:t>
      </w:r>
    </w:p>
    <w:p w:rsidR="00E53EB1" w:rsidRDefault="00E53EB1" w:rsidP="00E53EB1">
      <w:pPr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розміщення аптек на </w:t>
      </w:r>
      <w:r w:rsidR="00D92236">
        <w:rPr>
          <w:sz w:val="28"/>
          <w:szCs w:val="28"/>
          <w:lang w:val="uk-UA"/>
        </w:rPr>
        <w:t xml:space="preserve">визначеній території </w:t>
      </w:r>
      <w:r>
        <w:rPr>
          <w:sz w:val="28"/>
          <w:szCs w:val="28"/>
          <w:lang w:val="uk-UA"/>
        </w:rPr>
        <w:t>для виготовлення ліків за рецептами – 3 %,</w:t>
      </w:r>
    </w:p>
    <w:p w:rsidR="00E53EB1" w:rsidRDefault="00E53EB1" w:rsidP="00E53EB1">
      <w:pPr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розміщення аптек, які обслуговують пільгові категорії населення – 2 %.</w:t>
      </w:r>
    </w:p>
    <w:p w:rsidR="00E53EB1" w:rsidRDefault="00D61993" w:rsidP="00D61993">
      <w:pPr>
        <w:spacing w:after="0"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Адміністративною колегією Харківського обласного територіального відділення Антимонопольного комітету України зауважено, що всі суб</w:t>
      </w:r>
      <w:r w:rsidRPr="00D6199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 господарювання, які здійснюють роздрібну торгівлю лікарськими засобами в територіальних межах адміністративно-територіальних одиниць областей України, незалежно від форми власності, є учасниками відповідних регіональних ринків роздрібної торгівлі лікарськими засобами. Підходи щодо встановлення розміру орендної ставки для аптечних закладів органами місцевого самоврядування, які представляють ін</w:t>
      </w:r>
      <w:r w:rsidR="00AA4923">
        <w:rPr>
          <w:sz w:val="28"/>
          <w:szCs w:val="28"/>
          <w:lang w:val="uk-UA"/>
        </w:rPr>
        <w:t>тереси відповідних територіальних громад, мають бути рівними до всіх учасників регіональних ринків роздрібної торгівлі лікарськими засобами. Зазначена ситуація призводить до того, що суб</w:t>
      </w:r>
      <w:r w:rsidR="00AA4923" w:rsidRPr="00AA4923">
        <w:rPr>
          <w:sz w:val="28"/>
          <w:szCs w:val="28"/>
          <w:lang w:val="uk-UA"/>
        </w:rPr>
        <w:t>’</w:t>
      </w:r>
      <w:r w:rsidR="00AA4923">
        <w:rPr>
          <w:sz w:val="28"/>
          <w:szCs w:val="28"/>
          <w:lang w:val="uk-UA"/>
        </w:rPr>
        <w:t>єкти господарювання, які здійснюють господарську діяльність з роздрібної торгівлі лікарськими засобами в м. Харкові, знаходяться у нерівних умовах при здійсненні ними своєї господарської діяльності.</w:t>
      </w:r>
    </w:p>
    <w:p w:rsidR="006A24C5" w:rsidRDefault="006A24C5" w:rsidP="00D61993">
      <w:pPr>
        <w:spacing w:after="0"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Прийняття зазначених змін призведе до збільшення надходжень до бюджету м. Харкова (таблиця).</w:t>
      </w:r>
    </w:p>
    <w:p w:rsidR="006A24C5" w:rsidRPr="006521DD" w:rsidRDefault="006A24C5" w:rsidP="00D61993">
      <w:pPr>
        <w:spacing w:after="0" w:line="240" w:lineRule="auto"/>
        <w:ind w:firstLine="0"/>
        <w:rPr>
          <w:sz w:val="16"/>
          <w:szCs w:val="16"/>
          <w:lang w:val="uk-UA"/>
        </w:rPr>
      </w:pPr>
    </w:p>
    <w:p w:rsidR="00F164EC" w:rsidRPr="00184AF1" w:rsidRDefault="006A24C5" w:rsidP="00184AF1">
      <w:pPr>
        <w:spacing w:after="0" w:line="240" w:lineRule="auto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 </w:t>
      </w:r>
      <w:r w:rsidR="00F164EC" w:rsidRPr="00184AF1">
        <w:rPr>
          <w:sz w:val="28"/>
          <w:szCs w:val="28"/>
          <w:lang w:val="uk-UA"/>
        </w:rPr>
        <w:t xml:space="preserve">(дані </w:t>
      </w:r>
      <w:r w:rsidR="00F164EC">
        <w:rPr>
          <w:sz w:val="28"/>
          <w:szCs w:val="28"/>
          <w:lang w:val="uk-UA"/>
        </w:rPr>
        <w:t>на</w:t>
      </w:r>
      <w:r w:rsidR="00F164EC" w:rsidRPr="00184AF1">
        <w:rPr>
          <w:sz w:val="28"/>
          <w:szCs w:val="28"/>
          <w:lang w:val="uk-UA"/>
        </w:rPr>
        <w:t>ведено за місяць)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330"/>
        <w:gridCol w:w="1701"/>
        <w:gridCol w:w="1134"/>
        <w:gridCol w:w="1275"/>
        <w:gridCol w:w="1357"/>
      </w:tblGrid>
      <w:tr w:rsidR="00F164EC" w:rsidRPr="00184AF1" w:rsidTr="00DB7950">
        <w:trPr>
          <w:jc w:val="center"/>
        </w:trPr>
        <w:tc>
          <w:tcPr>
            <w:tcW w:w="1800" w:type="dxa"/>
          </w:tcPr>
          <w:p w:rsidR="00F164EC" w:rsidRPr="00184AF1" w:rsidRDefault="00F164EC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4AF1">
              <w:rPr>
                <w:sz w:val="24"/>
                <w:szCs w:val="24"/>
                <w:lang w:val="uk-UA"/>
              </w:rPr>
              <w:t>Цільове використання</w:t>
            </w:r>
          </w:p>
        </w:tc>
        <w:tc>
          <w:tcPr>
            <w:tcW w:w="1260" w:type="dxa"/>
          </w:tcPr>
          <w:p w:rsidR="00F164EC" w:rsidRPr="00184AF1" w:rsidRDefault="00F164EC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4AF1">
              <w:rPr>
                <w:sz w:val="24"/>
                <w:szCs w:val="24"/>
                <w:lang w:val="uk-UA"/>
              </w:rPr>
              <w:t xml:space="preserve">Площа, </w:t>
            </w:r>
            <w:proofErr w:type="spellStart"/>
            <w:r w:rsidRPr="00184AF1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330" w:type="dxa"/>
          </w:tcPr>
          <w:p w:rsidR="00F164EC" w:rsidRPr="00184AF1" w:rsidRDefault="00F164EC" w:rsidP="00184AF1">
            <w:pPr>
              <w:spacing w:after="0" w:line="240" w:lineRule="auto"/>
              <w:ind w:hanging="22"/>
              <w:jc w:val="center"/>
              <w:rPr>
                <w:sz w:val="24"/>
                <w:szCs w:val="24"/>
                <w:lang w:val="uk-UA"/>
              </w:rPr>
            </w:pPr>
            <w:r w:rsidRPr="00184AF1">
              <w:rPr>
                <w:sz w:val="24"/>
                <w:szCs w:val="24"/>
                <w:lang w:val="uk-UA"/>
              </w:rPr>
              <w:t>Ставки за існуючою Мето-дикою</w:t>
            </w:r>
            <w:r w:rsidR="00DB7950">
              <w:rPr>
                <w:sz w:val="24"/>
                <w:szCs w:val="24"/>
                <w:lang w:val="uk-UA"/>
              </w:rPr>
              <w:t xml:space="preserve">, </w:t>
            </w:r>
            <w:r w:rsidRPr="00184AF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</w:tcPr>
          <w:p w:rsidR="00F164EC" w:rsidRPr="00184AF1" w:rsidRDefault="00F164EC" w:rsidP="00184AF1">
            <w:pPr>
              <w:spacing w:after="0" w:line="240" w:lineRule="auto"/>
              <w:ind w:hanging="6"/>
              <w:jc w:val="center"/>
              <w:rPr>
                <w:sz w:val="24"/>
                <w:szCs w:val="24"/>
                <w:lang w:val="uk-UA"/>
              </w:rPr>
            </w:pPr>
            <w:r w:rsidRPr="00184AF1">
              <w:rPr>
                <w:sz w:val="24"/>
                <w:szCs w:val="24"/>
                <w:lang w:val="uk-UA"/>
              </w:rPr>
              <w:t>Орендна плата, грн</w:t>
            </w:r>
          </w:p>
        </w:tc>
        <w:tc>
          <w:tcPr>
            <w:tcW w:w="1134" w:type="dxa"/>
          </w:tcPr>
          <w:p w:rsidR="00F164EC" w:rsidRPr="00184AF1" w:rsidRDefault="00F164EC" w:rsidP="00184AF1">
            <w:pPr>
              <w:spacing w:after="0" w:line="240" w:lineRule="auto"/>
              <w:ind w:hanging="2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84AF1">
              <w:rPr>
                <w:sz w:val="24"/>
                <w:szCs w:val="24"/>
                <w:lang w:val="uk-UA"/>
              </w:rPr>
              <w:t>Запропо</w:t>
            </w:r>
            <w:r>
              <w:rPr>
                <w:sz w:val="24"/>
                <w:szCs w:val="24"/>
                <w:lang w:val="uk-UA"/>
              </w:rPr>
              <w:t>-</w:t>
            </w:r>
            <w:r w:rsidRPr="00184AF1">
              <w:rPr>
                <w:sz w:val="24"/>
                <w:szCs w:val="24"/>
                <w:lang w:val="uk-UA"/>
              </w:rPr>
              <w:t>новані</w:t>
            </w:r>
            <w:proofErr w:type="spellEnd"/>
            <w:r w:rsidRPr="00184AF1">
              <w:rPr>
                <w:sz w:val="24"/>
                <w:szCs w:val="24"/>
                <w:lang w:val="uk-UA"/>
              </w:rPr>
              <w:t xml:space="preserve"> орендні ставки, %</w:t>
            </w:r>
          </w:p>
        </w:tc>
        <w:tc>
          <w:tcPr>
            <w:tcW w:w="1275" w:type="dxa"/>
          </w:tcPr>
          <w:p w:rsidR="00F164EC" w:rsidRPr="00184AF1" w:rsidRDefault="00F164EC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Нова орендна плата, грн</w:t>
            </w:r>
          </w:p>
        </w:tc>
        <w:tc>
          <w:tcPr>
            <w:tcW w:w="1357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Прибуток</w:t>
            </w:r>
          </w:p>
        </w:tc>
      </w:tr>
      <w:tr w:rsidR="00F164EC" w:rsidRPr="00184AF1" w:rsidTr="00DB7950">
        <w:trPr>
          <w:jc w:val="center"/>
        </w:trPr>
        <w:tc>
          <w:tcPr>
            <w:tcW w:w="1800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розміщення аптек, що реалізують готові ліки </w:t>
            </w:r>
          </w:p>
        </w:tc>
        <w:tc>
          <w:tcPr>
            <w:tcW w:w="1260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1 254,86</w:t>
            </w:r>
          </w:p>
        </w:tc>
        <w:tc>
          <w:tcPr>
            <w:tcW w:w="1330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F164EC" w:rsidRPr="00184AF1" w:rsidRDefault="00C114D4" w:rsidP="00184AF1">
            <w:pPr>
              <w:spacing w:after="0" w:line="240" w:lineRule="auto"/>
              <w:ind w:hanging="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28 144,60</w:t>
            </w:r>
          </w:p>
        </w:tc>
        <w:tc>
          <w:tcPr>
            <w:tcW w:w="1134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</w:tcPr>
          <w:p w:rsidR="00F164EC" w:rsidRPr="00184AF1" w:rsidRDefault="00C114D4" w:rsidP="00184AF1">
            <w:pPr>
              <w:spacing w:after="0" w:line="240" w:lineRule="auto"/>
              <w:ind w:hanging="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67 898,65</w:t>
            </w:r>
          </w:p>
        </w:tc>
        <w:tc>
          <w:tcPr>
            <w:tcW w:w="1357" w:type="dxa"/>
          </w:tcPr>
          <w:p w:rsidR="00F164EC" w:rsidRPr="00184AF1" w:rsidRDefault="00C114D4" w:rsidP="00184AF1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39 754,05</w:t>
            </w:r>
          </w:p>
        </w:tc>
      </w:tr>
    </w:tbl>
    <w:p w:rsidR="00F164EC" w:rsidRPr="00DB7950" w:rsidRDefault="00F164EC" w:rsidP="00184AF1">
      <w:pPr>
        <w:spacing w:after="0" w:line="240" w:lineRule="auto"/>
        <w:rPr>
          <w:sz w:val="16"/>
          <w:szCs w:val="16"/>
          <w:lang w:val="uk-UA"/>
        </w:rPr>
      </w:pPr>
    </w:p>
    <w:p w:rsidR="00F164EC" w:rsidRDefault="00C114D4" w:rsidP="00184AF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Прибуток </w:t>
      </w:r>
      <w:r w:rsidR="00F164EC" w:rsidRPr="00184AF1">
        <w:rPr>
          <w:sz w:val="28"/>
          <w:szCs w:val="28"/>
          <w:lang w:val="uk-UA"/>
        </w:rPr>
        <w:t>за рік приблизно становитим</w:t>
      </w:r>
      <w:r>
        <w:rPr>
          <w:sz w:val="28"/>
          <w:szCs w:val="28"/>
          <w:lang w:val="uk-UA"/>
        </w:rPr>
        <w:t>е</w:t>
      </w:r>
      <w:r w:rsidR="00F164EC" w:rsidRPr="00184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477 048 </w:t>
      </w:r>
      <w:r w:rsidR="00F164EC" w:rsidRPr="00184AF1">
        <w:rPr>
          <w:sz w:val="28"/>
          <w:szCs w:val="28"/>
          <w:lang w:val="uk-UA"/>
        </w:rPr>
        <w:t>грн.</w:t>
      </w:r>
    </w:p>
    <w:p w:rsidR="00E67955" w:rsidRPr="00DB7950" w:rsidRDefault="00E67955" w:rsidP="00184AF1">
      <w:pPr>
        <w:spacing w:after="0" w:line="240" w:lineRule="auto"/>
        <w:rPr>
          <w:sz w:val="16"/>
          <w:szCs w:val="16"/>
          <w:lang w:val="uk-UA"/>
        </w:rPr>
      </w:pPr>
    </w:p>
    <w:p w:rsidR="002F4238" w:rsidRDefault="00E67955" w:rsidP="00184AF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</w:t>
      </w:r>
      <w:r w:rsidR="00FA54AD">
        <w:rPr>
          <w:sz w:val="28"/>
          <w:szCs w:val="28"/>
          <w:lang w:val="uk-UA"/>
        </w:rPr>
        <w:t>, з ціллю вдосконалення розрахунків за майно територіальної громади м. Харкова та приведення у відповідність до існуючої практики,</w:t>
      </w:r>
      <w:r>
        <w:rPr>
          <w:sz w:val="28"/>
          <w:szCs w:val="28"/>
          <w:lang w:val="uk-UA"/>
        </w:rPr>
        <w:t xml:space="preserve"> пропонується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п. 8 Методики розрахунку орендної плати за майно територіальної громади м. Харкова та пропорції її розподілу – додатку 2 до Положення про оренду майна територіальної громади м. Харкова в частині доповнення встановлення розміру орендної плати за </w:t>
      </w:r>
      <w:r w:rsidR="00BF3C99">
        <w:rPr>
          <w:sz w:val="28"/>
          <w:szCs w:val="28"/>
          <w:lang w:val="uk-UA"/>
        </w:rPr>
        <w:t xml:space="preserve">окреме </w:t>
      </w:r>
      <w:proofErr w:type="spellStart"/>
      <w:r w:rsidR="00BF3C99">
        <w:rPr>
          <w:sz w:val="28"/>
          <w:szCs w:val="28"/>
          <w:lang w:val="uk-UA"/>
        </w:rPr>
        <w:t>індивідульно</w:t>
      </w:r>
      <w:proofErr w:type="spellEnd"/>
      <w:r w:rsidR="00BF3C99">
        <w:rPr>
          <w:sz w:val="28"/>
          <w:szCs w:val="28"/>
          <w:lang w:val="uk-UA"/>
        </w:rPr>
        <w:t xml:space="preserve"> визначене - </w:t>
      </w:r>
      <w:r>
        <w:rPr>
          <w:sz w:val="28"/>
          <w:szCs w:val="28"/>
          <w:lang w:val="uk-UA"/>
        </w:rPr>
        <w:t>рухоме майно</w:t>
      </w:r>
      <w:r w:rsidR="00FA54AD">
        <w:rPr>
          <w:sz w:val="28"/>
          <w:szCs w:val="28"/>
          <w:lang w:val="uk-UA"/>
        </w:rPr>
        <w:t xml:space="preserve"> бюджетними організаціями, які утримуються за рахунок бюджету міста Харкова, державного бюджету та місцевих бюджетів в розмірі 1 гривні</w:t>
      </w:r>
      <w:r w:rsidR="006D465D">
        <w:rPr>
          <w:sz w:val="28"/>
          <w:szCs w:val="28"/>
          <w:lang w:val="uk-UA"/>
        </w:rPr>
        <w:t xml:space="preserve"> за рік</w:t>
      </w:r>
      <w:r w:rsidR="00FA54AD">
        <w:rPr>
          <w:sz w:val="28"/>
          <w:szCs w:val="28"/>
          <w:lang w:val="uk-UA"/>
        </w:rPr>
        <w:t>.</w:t>
      </w:r>
      <w:r w:rsidR="002F4238">
        <w:rPr>
          <w:sz w:val="28"/>
          <w:szCs w:val="28"/>
          <w:lang w:val="uk-UA"/>
        </w:rPr>
        <w:t xml:space="preserve"> </w:t>
      </w:r>
      <w:r w:rsidR="00FA54AD">
        <w:rPr>
          <w:sz w:val="28"/>
          <w:szCs w:val="28"/>
          <w:lang w:val="uk-UA"/>
        </w:rPr>
        <w:t>На даний час зазначена норма стосується нерухомого майна</w:t>
      </w:r>
      <w:r w:rsidR="002F4238">
        <w:rPr>
          <w:sz w:val="28"/>
          <w:szCs w:val="28"/>
          <w:lang w:val="uk-UA"/>
        </w:rPr>
        <w:t>. Тому, до збитків надходжень орендної плати до міського бюджету внесення запропонованих змін не призведе.</w:t>
      </w:r>
    </w:p>
    <w:p w:rsidR="002F4238" w:rsidRPr="002F4238" w:rsidRDefault="002F4238" w:rsidP="002F4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     Пунктом </w:t>
      </w:r>
      <w:r w:rsidRPr="002F4238">
        <w:rPr>
          <w:color w:val="111111"/>
          <w:sz w:val="28"/>
          <w:szCs w:val="28"/>
          <w:lang w:val="uk-UA"/>
        </w:rPr>
        <w:t>3</w:t>
      </w:r>
      <w:r>
        <w:rPr>
          <w:color w:val="111111"/>
          <w:sz w:val="28"/>
          <w:szCs w:val="28"/>
          <w:lang w:val="uk-UA"/>
        </w:rPr>
        <w:t xml:space="preserve"> статті 640 Цивільного кодексу України передбачено, що д</w:t>
      </w:r>
      <w:r w:rsidRPr="002F4238">
        <w:rPr>
          <w:color w:val="111111"/>
          <w:sz w:val="28"/>
          <w:szCs w:val="28"/>
          <w:lang w:val="uk-UA"/>
        </w:rPr>
        <w:t>оговір,   який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підлягає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нотаріальному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посвідченню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або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державній реєстрації,  є укладеним з  моменту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його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нотаріального</w:t>
      </w:r>
      <w:r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посвідчення або  державної  реєстрації,  а  в  разі необхідності</w:t>
      </w:r>
      <w:r>
        <w:rPr>
          <w:color w:val="111111"/>
          <w:sz w:val="28"/>
          <w:szCs w:val="28"/>
          <w:lang w:val="uk-UA"/>
        </w:rPr>
        <w:t xml:space="preserve"> і </w:t>
      </w:r>
      <w:r w:rsidRPr="002F4238">
        <w:rPr>
          <w:color w:val="111111"/>
          <w:sz w:val="28"/>
          <w:szCs w:val="28"/>
          <w:lang w:val="uk-UA"/>
        </w:rPr>
        <w:t>нотаріального посвідчення,  і державної  реєстрації</w:t>
      </w:r>
      <w:r w:rsidR="000A4B13">
        <w:rPr>
          <w:color w:val="111111"/>
          <w:sz w:val="28"/>
          <w:szCs w:val="28"/>
          <w:lang w:val="uk-UA"/>
        </w:rPr>
        <w:t xml:space="preserve"> – </w:t>
      </w:r>
      <w:r w:rsidRPr="002F4238">
        <w:rPr>
          <w:color w:val="111111"/>
          <w:sz w:val="28"/>
          <w:szCs w:val="28"/>
          <w:lang w:val="uk-UA"/>
        </w:rPr>
        <w:t>з</w:t>
      </w:r>
      <w:r w:rsidR="000A4B13"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lastRenderedPageBreak/>
        <w:t>моменту</w:t>
      </w:r>
      <w:r w:rsidR="000A4B13">
        <w:rPr>
          <w:color w:val="111111"/>
          <w:sz w:val="28"/>
          <w:szCs w:val="28"/>
          <w:lang w:val="uk-UA"/>
        </w:rPr>
        <w:t xml:space="preserve"> </w:t>
      </w:r>
      <w:r w:rsidRPr="002F4238">
        <w:rPr>
          <w:color w:val="111111"/>
          <w:sz w:val="28"/>
          <w:szCs w:val="28"/>
          <w:lang w:val="uk-UA"/>
        </w:rPr>
        <w:t>державної реєстрації.</w:t>
      </w:r>
      <w:r w:rsidR="000A4B13">
        <w:rPr>
          <w:color w:val="111111"/>
          <w:sz w:val="28"/>
          <w:szCs w:val="28"/>
          <w:lang w:val="uk-UA"/>
        </w:rPr>
        <w:t xml:space="preserve"> Дана норма Закону не відображена в Положенні про оренду майна територіальної громади м. Харкова, в зв</w:t>
      </w:r>
      <w:r w:rsidR="000A4B13" w:rsidRPr="000A4B13">
        <w:rPr>
          <w:color w:val="111111"/>
          <w:sz w:val="28"/>
          <w:szCs w:val="28"/>
        </w:rPr>
        <w:t>’</w:t>
      </w:r>
      <w:proofErr w:type="spellStart"/>
      <w:r w:rsidR="000A4B13">
        <w:rPr>
          <w:color w:val="111111"/>
          <w:sz w:val="28"/>
          <w:szCs w:val="28"/>
          <w:lang w:val="uk-UA"/>
        </w:rPr>
        <w:t>язку</w:t>
      </w:r>
      <w:proofErr w:type="spellEnd"/>
      <w:r w:rsidR="000A4B13">
        <w:rPr>
          <w:color w:val="111111"/>
          <w:sz w:val="28"/>
          <w:szCs w:val="28"/>
          <w:lang w:val="uk-UA"/>
        </w:rPr>
        <w:t xml:space="preserve"> з чим виникають певні труднощі при оформленні договорів оренди зі строком оренди 3 роки і більше та які підлягають </w:t>
      </w:r>
      <w:proofErr w:type="spellStart"/>
      <w:r w:rsidR="000A4B13">
        <w:rPr>
          <w:color w:val="111111"/>
          <w:sz w:val="28"/>
          <w:szCs w:val="28"/>
          <w:lang w:val="uk-UA"/>
        </w:rPr>
        <w:t>обов</w:t>
      </w:r>
      <w:proofErr w:type="spellEnd"/>
      <w:r w:rsidR="000A4B13" w:rsidRPr="000A4B13">
        <w:rPr>
          <w:color w:val="111111"/>
          <w:sz w:val="28"/>
          <w:szCs w:val="28"/>
        </w:rPr>
        <w:t>’</w:t>
      </w:r>
      <w:proofErr w:type="spellStart"/>
      <w:r w:rsidR="000A4B13">
        <w:rPr>
          <w:color w:val="111111"/>
          <w:sz w:val="28"/>
          <w:szCs w:val="28"/>
          <w:lang w:val="uk-UA"/>
        </w:rPr>
        <w:t>язковому</w:t>
      </w:r>
      <w:proofErr w:type="spellEnd"/>
      <w:r w:rsidR="000A4B13">
        <w:rPr>
          <w:color w:val="111111"/>
          <w:sz w:val="28"/>
          <w:szCs w:val="28"/>
          <w:lang w:val="uk-UA"/>
        </w:rPr>
        <w:t xml:space="preserve"> нотаріальному посвідченню. Тому, </w:t>
      </w:r>
      <w:r w:rsidR="00AA3F2C">
        <w:rPr>
          <w:color w:val="111111"/>
          <w:sz w:val="28"/>
          <w:szCs w:val="28"/>
          <w:lang w:val="uk-UA"/>
        </w:rPr>
        <w:t xml:space="preserve">з ціллю недопущення протиріччя </w:t>
      </w:r>
      <w:r w:rsidR="000A4B13">
        <w:rPr>
          <w:color w:val="111111"/>
          <w:sz w:val="28"/>
          <w:szCs w:val="28"/>
          <w:lang w:val="uk-UA"/>
        </w:rPr>
        <w:t xml:space="preserve">пропонуємо </w:t>
      </w:r>
      <w:proofErr w:type="spellStart"/>
      <w:r w:rsidR="000A4B13">
        <w:rPr>
          <w:color w:val="111111"/>
          <w:sz w:val="28"/>
          <w:szCs w:val="28"/>
          <w:lang w:val="uk-UA"/>
        </w:rPr>
        <w:t>внести</w:t>
      </w:r>
      <w:proofErr w:type="spellEnd"/>
      <w:r w:rsidR="000A4B13">
        <w:rPr>
          <w:color w:val="111111"/>
          <w:sz w:val="28"/>
          <w:szCs w:val="28"/>
          <w:lang w:val="uk-UA"/>
        </w:rPr>
        <w:t xml:space="preserve"> відповідні зміни до</w:t>
      </w:r>
      <w:r w:rsidR="00AA3F2C">
        <w:rPr>
          <w:color w:val="111111"/>
          <w:sz w:val="28"/>
          <w:szCs w:val="28"/>
          <w:lang w:val="uk-UA"/>
        </w:rPr>
        <w:t xml:space="preserve"> Положення. </w:t>
      </w:r>
      <w:r w:rsidR="000A4B13">
        <w:rPr>
          <w:color w:val="111111"/>
          <w:sz w:val="28"/>
          <w:szCs w:val="28"/>
          <w:lang w:val="uk-UA"/>
        </w:rPr>
        <w:t xml:space="preserve">  </w:t>
      </w:r>
    </w:p>
    <w:p w:rsidR="00E67955" w:rsidRPr="00DB7950" w:rsidRDefault="00FA54AD" w:rsidP="00184AF1">
      <w:pPr>
        <w:spacing w:after="0" w:line="240" w:lineRule="auto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164EC" w:rsidRPr="00184AF1" w:rsidRDefault="00F164EC" w:rsidP="00184AF1">
      <w:pPr>
        <w:spacing w:after="0" w:line="240" w:lineRule="auto"/>
        <w:ind w:left="721" w:right="15" w:firstLine="0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Основні групи (підгрупи), на які проблема справляє вплив: </w:t>
      </w:r>
    </w:p>
    <w:tbl>
      <w:tblPr>
        <w:tblW w:w="973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68" w:type="dxa"/>
          <w:right w:w="115" w:type="dxa"/>
        </w:tblCellMar>
        <w:tblLook w:val="00A0" w:firstRow="1" w:lastRow="0" w:firstColumn="1" w:lastColumn="0" w:noHBand="0" w:noVBand="0"/>
      </w:tblPr>
      <w:tblGrid>
        <w:gridCol w:w="4356"/>
        <w:gridCol w:w="2838"/>
        <w:gridCol w:w="2538"/>
      </w:tblGrid>
      <w:tr w:rsidR="00F164EC" w:rsidRPr="002F1441">
        <w:trPr>
          <w:trHeight w:val="413"/>
        </w:trPr>
        <w:tc>
          <w:tcPr>
            <w:tcW w:w="4356" w:type="dxa"/>
          </w:tcPr>
          <w:p w:rsidR="00F164EC" w:rsidRPr="002F1441" w:rsidRDefault="00F164EC" w:rsidP="00184AF1">
            <w:pPr>
              <w:spacing w:after="0" w:line="240" w:lineRule="auto"/>
              <w:ind w:left="18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Групи (підгрупи) </w:t>
            </w:r>
          </w:p>
        </w:tc>
        <w:tc>
          <w:tcPr>
            <w:tcW w:w="2838" w:type="dxa"/>
          </w:tcPr>
          <w:p w:rsidR="00F164EC" w:rsidRPr="002F1441" w:rsidRDefault="00F164EC" w:rsidP="00184AF1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2538" w:type="dxa"/>
          </w:tcPr>
          <w:p w:rsidR="00F164EC" w:rsidRPr="002F1441" w:rsidRDefault="00F164EC" w:rsidP="00184AF1">
            <w:pPr>
              <w:spacing w:after="0" w:line="240" w:lineRule="auto"/>
              <w:ind w:left="25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Ні </w:t>
            </w:r>
          </w:p>
        </w:tc>
      </w:tr>
      <w:tr w:rsidR="00F164EC" w:rsidRPr="00C369ED">
        <w:trPr>
          <w:trHeight w:val="406"/>
        </w:trPr>
        <w:tc>
          <w:tcPr>
            <w:tcW w:w="4356" w:type="dxa"/>
          </w:tcPr>
          <w:p w:rsidR="00F164EC" w:rsidRPr="00C369ED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Громадяни </w:t>
            </w:r>
          </w:p>
        </w:tc>
        <w:tc>
          <w:tcPr>
            <w:tcW w:w="2838" w:type="dxa"/>
          </w:tcPr>
          <w:p w:rsidR="00F164EC" w:rsidRPr="00C369ED" w:rsidRDefault="00F164EC" w:rsidP="00184AF1">
            <w:pPr>
              <w:spacing w:after="0" w:line="240" w:lineRule="auto"/>
              <w:ind w:left="32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538" w:type="dxa"/>
          </w:tcPr>
          <w:p w:rsidR="00F164EC" w:rsidRPr="00C369ED" w:rsidRDefault="00F164EC" w:rsidP="00184AF1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164EC" w:rsidRPr="00C369ED">
        <w:trPr>
          <w:trHeight w:val="420"/>
        </w:trPr>
        <w:tc>
          <w:tcPr>
            <w:tcW w:w="4356" w:type="dxa"/>
          </w:tcPr>
          <w:p w:rsidR="00F164EC" w:rsidRPr="00C369ED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Держава </w:t>
            </w:r>
          </w:p>
        </w:tc>
        <w:tc>
          <w:tcPr>
            <w:tcW w:w="2838" w:type="dxa"/>
          </w:tcPr>
          <w:p w:rsidR="00F164EC" w:rsidRPr="00C369ED" w:rsidRDefault="00F164EC" w:rsidP="00184AF1">
            <w:pPr>
              <w:spacing w:after="0" w:line="240" w:lineRule="auto"/>
              <w:ind w:left="32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538" w:type="dxa"/>
          </w:tcPr>
          <w:p w:rsidR="00F164EC" w:rsidRPr="00C369ED" w:rsidRDefault="00F164EC" w:rsidP="00184AF1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164EC" w:rsidRPr="00C369ED">
        <w:trPr>
          <w:trHeight w:val="406"/>
        </w:trPr>
        <w:tc>
          <w:tcPr>
            <w:tcW w:w="4356" w:type="dxa"/>
          </w:tcPr>
          <w:p w:rsidR="00F164EC" w:rsidRPr="00C369ED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Суб'єкти господарювання, </w:t>
            </w:r>
          </w:p>
        </w:tc>
        <w:tc>
          <w:tcPr>
            <w:tcW w:w="2838" w:type="dxa"/>
          </w:tcPr>
          <w:p w:rsidR="00F164EC" w:rsidRPr="00C369ED" w:rsidRDefault="00F164EC" w:rsidP="00184AF1">
            <w:pPr>
              <w:spacing w:after="0" w:line="240" w:lineRule="auto"/>
              <w:ind w:left="32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538" w:type="dxa"/>
          </w:tcPr>
          <w:p w:rsidR="00F164EC" w:rsidRPr="00C369ED" w:rsidRDefault="00F164EC" w:rsidP="00184AF1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164EC" w:rsidRPr="00184AF1">
        <w:trPr>
          <w:trHeight w:val="544"/>
        </w:trPr>
        <w:tc>
          <w:tcPr>
            <w:tcW w:w="4356" w:type="dxa"/>
          </w:tcPr>
          <w:p w:rsidR="00F164EC" w:rsidRPr="00C369ED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у тому числі суб'єкти малого підприємництва </w:t>
            </w:r>
          </w:p>
        </w:tc>
        <w:tc>
          <w:tcPr>
            <w:tcW w:w="2838" w:type="dxa"/>
          </w:tcPr>
          <w:p w:rsidR="00F164EC" w:rsidRPr="00C369ED" w:rsidRDefault="00F164EC" w:rsidP="00184AF1">
            <w:pPr>
              <w:spacing w:after="0" w:line="240" w:lineRule="auto"/>
              <w:ind w:left="32" w:firstLine="0"/>
              <w:jc w:val="center"/>
              <w:rPr>
                <w:sz w:val="24"/>
                <w:szCs w:val="24"/>
                <w:lang w:val="uk-UA"/>
              </w:rPr>
            </w:pPr>
            <w:r w:rsidRPr="00C369ED">
              <w:rPr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538" w:type="dxa"/>
            <w:vAlign w:val="center"/>
          </w:tcPr>
          <w:p w:rsidR="00F164EC" w:rsidRPr="00184AF1" w:rsidRDefault="00F164EC" w:rsidP="00184AF1">
            <w:pPr>
              <w:spacing w:after="0" w:line="240" w:lineRule="auto"/>
              <w:ind w:left="108" w:firstLine="0"/>
              <w:jc w:val="center"/>
              <w:rPr>
                <w:sz w:val="28"/>
                <w:szCs w:val="28"/>
                <w:lang w:val="uk-UA"/>
              </w:rPr>
            </w:pPr>
            <w:r w:rsidRPr="00184AF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164EC" w:rsidRPr="00184AF1" w:rsidRDefault="00F164EC" w:rsidP="00184AF1">
      <w:pPr>
        <w:spacing w:after="0" w:line="240" w:lineRule="auto"/>
        <w:ind w:left="32" w:firstLine="0"/>
        <w:jc w:val="center"/>
        <w:rPr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 </w:t>
      </w:r>
    </w:p>
    <w:p w:rsidR="00F164EC" w:rsidRPr="00184AF1" w:rsidRDefault="00F164EC" w:rsidP="00184AF1">
      <w:pPr>
        <w:pStyle w:val="1"/>
        <w:spacing w:after="0" w:line="240" w:lineRule="auto"/>
        <w:ind w:left="257" w:right="271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II. Цілі державного регулювання </w:t>
      </w:r>
    </w:p>
    <w:p w:rsidR="00F164EC" w:rsidRPr="006521DD" w:rsidRDefault="00F164EC" w:rsidP="00184AF1">
      <w:pPr>
        <w:spacing w:after="0" w:line="240" w:lineRule="auto"/>
        <w:ind w:left="36" w:firstLine="0"/>
        <w:jc w:val="center"/>
        <w:rPr>
          <w:sz w:val="16"/>
          <w:szCs w:val="16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 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Ціллю прийняття проекту </w:t>
      </w:r>
      <w:r w:rsidR="004169B9">
        <w:rPr>
          <w:sz w:val="28"/>
          <w:szCs w:val="28"/>
          <w:lang w:val="uk-UA"/>
        </w:rPr>
        <w:t xml:space="preserve">рішення про внесення змін до </w:t>
      </w:r>
      <w:r w:rsidRPr="00184AF1">
        <w:rPr>
          <w:sz w:val="28"/>
          <w:szCs w:val="28"/>
          <w:lang w:val="uk-UA"/>
        </w:rPr>
        <w:t>Положення про оренду майна територіальної громади м. Харкова є визначення пріоритетів, завдань і комплексу заходів, спрямованих на організаційне та правове забезпечення процесу оренди комунального майна.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Основними цілями оренди майна, що є комунальною власністю територіальної громади м. Харкова є:</w:t>
      </w:r>
    </w:p>
    <w:p w:rsidR="00F164EC" w:rsidRPr="00184AF1" w:rsidRDefault="00F164EC" w:rsidP="00184AF1">
      <w:pPr>
        <w:pStyle w:val="a4"/>
        <w:numPr>
          <w:ilvl w:val="0"/>
          <w:numId w:val="5"/>
        </w:numPr>
        <w:spacing w:after="0" w:line="240" w:lineRule="auto"/>
        <w:ind w:left="0" w:right="15" w:firstLine="69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реалізація права територіальної громади володіти, доцільно, </w:t>
      </w:r>
      <w:proofErr w:type="spellStart"/>
      <w:r w:rsidRPr="00184AF1">
        <w:rPr>
          <w:sz w:val="28"/>
          <w:szCs w:val="28"/>
          <w:lang w:val="uk-UA"/>
        </w:rPr>
        <w:t>ощадливо</w:t>
      </w:r>
      <w:proofErr w:type="spellEnd"/>
      <w:r w:rsidRPr="00184AF1">
        <w:rPr>
          <w:sz w:val="28"/>
          <w:szCs w:val="28"/>
          <w:lang w:val="uk-UA"/>
        </w:rPr>
        <w:t>, ефективно користуватися за своїм розсудом і в своїх інтересах майном, що належить їй;</w:t>
      </w:r>
    </w:p>
    <w:p w:rsidR="00F164EC" w:rsidRDefault="00F164EC" w:rsidP="00184AF1">
      <w:pPr>
        <w:pStyle w:val="a4"/>
        <w:numPr>
          <w:ilvl w:val="0"/>
          <w:numId w:val="5"/>
        </w:numPr>
        <w:spacing w:after="0" w:line="240" w:lineRule="auto"/>
        <w:ind w:left="0" w:right="15" w:firstLine="69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сприяти подальшому розвитку інфраструктури м. Харкова шляхом передачі в довгострокову оренду об’єктів комунальної власності з подальшим поліпшенням комунального майна за рахунок коштів орендарів;</w:t>
      </w:r>
    </w:p>
    <w:p w:rsidR="002E452F" w:rsidRPr="00184AF1" w:rsidRDefault="002E452F" w:rsidP="00184AF1">
      <w:pPr>
        <w:pStyle w:val="a4"/>
        <w:numPr>
          <w:ilvl w:val="0"/>
          <w:numId w:val="5"/>
        </w:numPr>
        <w:spacing w:after="0" w:line="240" w:lineRule="auto"/>
        <w:ind w:left="0" w:right="15" w:firstLine="6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сприятливих умов для конкуренції на ринку роздрібної торгівлі лікарськими засобами; </w:t>
      </w:r>
    </w:p>
    <w:p w:rsidR="00F164EC" w:rsidRPr="00184AF1" w:rsidRDefault="00F164EC" w:rsidP="00184AF1">
      <w:pPr>
        <w:pStyle w:val="a4"/>
        <w:numPr>
          <w:ilvl w:val="0"/>
          <w:numId w:val="5"/>
        </w:numPr>
        <w:spacing w:after="0" w:line="240" w:lineRule="auto"/>
        <w:ind w:left="0" w:right="15" w:firstLine="69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підвищення ефективності використання об’єктів комунальної власності територіальної громади м. Харкова </w:t>
      </w:r>
      <w:r w:rsidR="002E452F">
        <w:rPr>
          <w:sz w:val="28"/>
          <w:szCs w:val="28"/>
          <w:lang w:val="uk-UA"/>
        </w:rPr>
        <w:t>організаціями та установами, які утримуються за рахунок державного бюджету, бюджету м. Харкова та місцевих бюджетів;</w:t>
      </w:r>
    </w:p>
    <w:p w:rsidR="00F164EC" w:rsidRPr="00184AF1" w:rsidRDefault="00F164EC" w:rsidP="00184AF1">
      <w:pPr>
        <w:pStyle w:val="a4"/>
        <w:numPr>
          <w:ilvl w:val="0"/>
          <w:numId w:val="5"/>
        </w:numPr>
        <w:spacing w:after="0" w:line="240" w:lineRule="auto"/>
        <w:ind w:left="0" w:right="15" w:firstLine="69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підтримання та подальший розвиток м. Харкова за рахунок коштів, що надходять від оренди комунальної власності.</w:t>
      </w:r>
    </w:p>
    <w:p w:rsidR="00F164EC" w:rsidRPr="00184AF1" w:rsidRDefault="00F164EC" w:rsidP="00184AF1">
      <w:pPr>
        <w:spacing w:after="0" w:line="240" w:lineRule="auto"/>
        <w:ind w:firstLine="709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Передача в оренду вирішує завдання по створенню ринкової економіки, а також забезпечує досягнення таких цілей, як створення умов для підвищення ефективності діяльності фізичних та юридичних осіб, сприяє підвищенню життєвого рівня населення, його добробуту, а також науково-технічним та економічним передумовам європейської інтеграції вітчизняної економіки.</w:t>
      </w:r>
    </w:p>
    <w:p w:rsidR="00F164EC" w:rsidRDefault="00F164EC" w:rsidP="00184AF1">
      <w:pPr>
        <w:spacing w:after="0" w:line="240" w:lineRule="auto"/>
        <w:ind w:left="721" w:firstLine="0"/>
        <w:jc w:val="left"/>
        <w:rPr>
          <w:sz w:val="28"/>
          <w:szCs w:val="28"/>
          <w:lang w:val="uk-UA"/>
        </w:rPr>
      </w:pPr>
    </w:p>
    <w:p w:rsidR="00DB7950" w:rsidRPr="00184AF1" w:rsidRDefault="00DB7950" w:rsidP="00184AF1">
      <w:pPr>
        <w:spacing w:after="0" w:line="240" w:lineRule="auto"/>
        <w:ind w:left="721" w:firstLine="0"/>
        <w:jc w:val="left"/>
        <w:rPr>
          <w:sz w:val="28"/>
          <w:szCs w:val="28"/>
          <w:lang w:val="uk-UA"/>
        </w:rPr>
      </w:pPr>
    </w:p>
    <w:p w:rsidR="00F164EC" w:rsidRPr="00184AF1" w:rsidRDefault="00F164EC" w:rsidP="00184AF1">
      <w:pPr>
        <w:pStyle w:val="1"/>
        <w:spacing w:after="0" w:line="240" w:lineRule="auto"/>
        <w:ind w:left="257" w:right="272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lastRenderedPageBreak/>
        <w:t xml:space="preserve">III. Визначення та оцінка альтернативних способів досягнення цілей </w:t>
      </w:r>
    </w:p>
    <w:p w:rsidR="00F164EC" w:rsidRPr="00184AF1" w:rsidRDefault="00F164EC" w:rsidP="00184AF1">
      <w:pPr>
        <w:spacing w:after="0" w:line="240" w:lineRule="auto"/>
        <w:ind w:left="396" w:firstLine="0"/>
        <w:jc w:val="center"/>
        <w:rPr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 </w:t>
      </w:r>
    </w:p>
    <w:tbl>
      <w:tblPr>
        <w:tblW w:w="973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8" w:type="dxa"/>
          <w:right w:w="8" w:type="dxa"/>
        </w:tblCellMar>
        <w:tblLook w:val="00A0" w:firstRow="1" w:lastRow="0" w:firstColumn="1" w:lastColumn="0" w:noHBand="0" w:noVBand="0"/>
      </w:tblPr>
      <w:tblGrid>
        <w:gridCol w:w="4115"/>
        <w:gridCol w:w="5617"/>
      </w:tblGrid>
      <w:tr w:rsidR="00F164EC" w:rsidRPr="002F1441">
        <w:trPr>
          <w:trHeight w:val="413"/>
        </w:trPr>
        <w:tc>
          <w:tcPr>
            <w:tcW w:w="4115" w:type="dxa"/>
          </w:tcPr>
          <w:p w:rsidR="00F164EC" w:rsidRPr="002F1441" w:rsidRDefault="00F164EC" w:rsidP="00184AF1">
            <w:pPr>
              <w:spacing w:after="0" w:line="240" w:lineRule="auto"/>
              <w:ind w:right="89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5617" w:type="dxa"/>
          </w:tcPr>
          <w:p w:rsidR="00F164EC" w:rsidRPr="002F1441" w:rsidRDefault="00F164EC" w:rsidP="00184AF1">
            <w:pPr>
              <w:spacing w:after="0" w:line="240" w:lineRule="auto"/>
              <w:ind w:right="89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Опис альтернативи </w:t>
            </w:r>
          </w:p>
        </w:tc>
      </w:tr>
      <w:tr w:rsidR="00F164EC" w:rsidRPr="00184AF1">
        <w:trPr>
          <w:trHeight w:val="1516"/>
        </w:trPr>
        <w:tc>
          <w:tcPr>
            <w:tcW w:w="4115" w:type="dxa"/>
          </w:tcPr>
          <w:p w:rsidR="00E27074" w:rsidRPr="00647EAA" w:rsidRDefault="00F164EC" w:rsidP="00E27074">
            <w:pPr>
              <w:spacing w:after="0" w:line="240" w:lineRule="auto"/>
              <w:ind w:left="-15" w:right="15" w:firstLine="477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1 - </w:t>
            </w:r>
            <w:r w:rsidR="00E27074">
              <w:rPr>
                <w:sz w:val="24"/>
                <w:szCs w:val="24"/>
                <w:lang w:val="uk-UA"/>
              </w:rPr>
              <w:t>з</w:t>
            </w:r>
            <w:r w:rsidRPr="00647EAA">
              <w:rPr>
                <w:sz w:val="24"/>
                <w:szCs w:val="24"/>
                <w:lang w:val="uk-UA"/>
              </w:rPr>
              <w:t>алишити без змін діюч</w:t>
            </w:r>
            <w:r w:rsidR="00E27074">
              <w:rPr>
                <w:sz w:val="24"/>
                <w:szCs w:val="24"/>
                <w:lang w:val="uk-UA"/>
              </w:rPr>
              <w:t xml:space="preserve">у </w:t>
            </w:r>
            <w:r w:rsidRPr="00647EAA">
              <w:rPr>
                <w:sz w:val="24"/>
                <w:szCs w:val="24"/>
                <w:lang w:val="uk-UA"/>
              </w:rPr>
              <w:t>редакці</w:t>
            </w:r>
            <w:r w:rsidR="00E27074">
              <w:rPr>
                <w:sz w:val="24"/>
                <w:szCs w:val="24"/>
                <w:lang w:val="uk-UA"/>
              </w:rPr>
              <w:t xml:space="preserve">ю </w:t>
            </w:r>
            <w:r w:rsidRPr="00647EAA">
              <w:rPr>
                <w:sz w:val="24"/>
                <w:szCs w:val="24"/>
                <w:lang w:val="uk-UA"/>
              </w:rPr>
              <w:t xml:space="preserve"> </w:t>
            </w:r>
            <w:r w:rsidR="00E27074" w:rsidRPr="00647EAA">
              <w:rPr>
                <w:sz w:val="24"/>
                <w:szCs w:val="24"/>
                <w:lang w:val="uk-UA"/>
              </w:rPr>
              <w:t xml:space="preserve">Положення </w:t>
            </w:r>
            <w:r w:rsidR="00E27074">
              <w:rPr>
                <w:sz w:val="24"/>
                <w:szCs w:val="24"/>
                <w:lang w:val="uk-UA"/>
              </w:rPr>
              <w:t xml:space="preserve">про </w:t>
            </w:r>
            <w:r w:rsidRPr="00647EAA">
              <w:rPr>
                <w:sz w:val="24"/>
                <w:szCs w:val="24"/>
                <w:lang w:val="uk-UA"/>
              </w:rPr>
              <w:t>оренду майна</w:t>
            </w:r>
            <w:r w:rsidR="00E27074">
              <w:rPr>
                <w:sz w:val="24"/>
                <w:szCs w:val="24"/>
                <w:lang w:val="uk-UA"/>
              </w:rPr>
              <w:t xml:space="preserve"> </w:t>
            </w:r>
            <w:r w:rsidRPr="00647EAA">
              <w:rPr>
                <w:sz w:val="24"/>
                <w:szCs w:val="24"/>
                <w:lang w:val="uk-UA"/>
              </w:rPr>
              <w:t>територіальної громади м. Харкова.</w:t>
            </w:r>
          </w:p>
        </w:tc>
        <w:tc>
          <w:tcPr>
            <w:tcW w:w="5617" w:type="dxa"/>
          </w:tcPr>
          <w:p w:rsidR="00F164EC" w:rsidRPr="00647EAA" w:rsidRDefault="00F164EC" w:rsidP="00184AF1">
            <w:pPr>
              <w:spacing w:after="0" w:line="240" w:lineRule="auto"/>
              <w:ind w:left="1" w:right="58" w:firstLine="36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Не дозволить досягнути цілей державного регулювання оскільки дан</w:t>
            </w:r>
            <w:r w:rsidR="00E27074">
              <w:rPr>
                <w:sz w:val="24"/>
                <w:szCs w:val="24"/>
                <w:lang w:val="uk-UA"/>
              </w:rPr>
              <w:t>ий</w:t>
            </w:r>
            <w:r w:rsidRPr="00647EAA">
              <w:rPr>
                <w:sz w:val="24"/>
                <w:szCs w:val="24"/>
                <w:lang w:val="uk-UA"/>
              </w:rPr>
              <w:t xml:space="preserve"> регуляторн</w:t>
            </w:r>
            <w:r w:rsidR="00E27074">
              <w:rPr>
                <w:sz w:val="24"/>
                <w:szCs w:val="24"/>
                <w:lang w:val="uk-UA"/>
              </w:rPr>
              <w:t>ий</w:t>
            </w:r>
            <w:r w:rsidRPr="00647EAA">
              <w:rPr>
                <w:sz w:val="24"/>
                <w:szCs w:val="24"/>
                <w:lang w:val="uk-UA"/>
              </w:rPr>
              <w:t xml:space="preserve"> акт потребу</w:t>
            </w:r>
            <w:r w:rsidR="00E27074">
              <w:rPr>
                <w:sz w:val="24"/>
                <w:szCs w:val="24"/>
                <w:lang w:val="uk-UA"/>
              </w:rPr>
              <w:t xml:space="preserve">є </w:t>
            </w:r>
            <w:r w:rsidRPr="00647EAA">
              <w:rPr>
                <w:sz w:val="24"/>
                <w:szCs w:val="24"/>
                <w:lang w:val="uk-UA"/>
              </w:rPr>
              <w:t xml:space="preserve">змін з метою досягнення визначених цілей державного регулювання. </w:t>
            </w:r>
          </w:p>
        </w:tc>
      </w:tr>
      <w:tr w:rsidR="00F164EC" w:rsidRPr="002C159E">
        <w:trPr>
          <w:trHeight w:val="1517"/>
        </w:trPr>
        <w:tc>
          <w:tcPr>
            <w:tcW w:w="4115" w:type="dxa"/>
          </w:tcPr>
          <w:p w:rsidR="00F164EC" w:rsidRPr="00647EAA" w:rsidRDefault="00F164EC" w:rsidP="00184AF1">
            <w:pPr>
              <w:spacing w:after="0" w:line="240" w:lineRule="auto"/>
              <w:ind w:firstLine="36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2 - </w:t>
            </w:r>
            <w:r w:rsidR="00E27074">
              <w:rPr>
                <w:sz w:val="24"/>
                <w:szCs w:val="24"/>
                <w:lang w:val="uk-UA"/>
              </w:rPr>
              <w:t>в</w:t>
            </w:r>
            <w:r w:rsidRPr="00647EAA">
              <w:rPr>
                <w:sz w:val="24"/>
                <w:szCs w:val="24"/>
                <w:lang w:val="uk-UA"/>
              </w:rPr>
              <w:t>несення змін до чинн</w:t>
            </w:r>
            <w:r w:rsidR="00E27074">
              <w:rPr>
                <w:sz w:val="24"/>
                <w:szCs w:val="24"/>
                <w:lang w:val="uk-UA"/>
              </w:rPr>
              <w:t xml:space="preserve">ого </w:t>
            </w:r>
            <w:r w:rsidRPr="00647EAA">
              <w:rPr>
                <w:sz w:val="24"/>
                <w:szCs w:val="24"/>
                <w:lang w:val="uk-UA"/>
              </w:rPr>
              <w:t>регуляторн</w:t>
            </w:r>
            <w:r w:rsidR="00E27074">
              <w:rPr>
                <w:sz w:val="24"/>
                <w:szCs w:val="24"/>
                <w:lang w:val="uk-UA"/>
              </w:rPr>
              <w:t>ого</w:t>
            </w:r>
            <w:r w:rsidRPr="00647EAA">
              <w:rPr>
                <w:sz w:val="24"/>
                <w:szCs w:val="24"/>
                <w:lang w:val="uk-UA"/>
              </w:rPr>
              <w:t xml:space="preserve"> акт</w:t>
            </w:r>
            <w:r w:rsidR="00E27074">
              <w:rPr>
                <w:sz w:val="24"/>
                <w:szCs w:val="24"/>
                <w:lang w:val="uk-UA"/>
              </w:rPr>
              <w:t>у</w:t>
            </w:r>
            <w:r w:rsidRPr="00647EAA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17" w:type="dxa"/>
          </w:tcPr>
          <w:p w:rsidR="00E27074" w:rsidRDefault="00F164EC" w:rsidP="00184AF1">
            <w:pPr>
              <w:spacing w:after="0" w:line="240" w:lineRule="auto"/>
              <w:ind w:left="1" w:right="54" w:firstLine="36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Такий спосіб є </w:t>
            </w:r>
            <w:r w:rsidR="00E27074" w:rsidRPr="00647EAA">
              <w:rPr>
                <w:sz w:val="24"/>
                <w:szCs w:val="24"/>
                <w:lang w:val="uk-UA"/>
              </w:rPr>
              <w:t>ефективним та забезпечить досягненн</w:t>
            </w:r>
            <w:r w:rsidR="00E27074">
              <w:rPr>
                <w:sz w:val="24"/>
                <w:szCs w:val="24"/>
                <w:lang w:val="uk-UA"/>
              </w:rPr>
              <w:t>я</w:t>
            </w:r>
            <w:r w:rsidR="00E27074" w:rsidRPr="00647EAA">
              <w:rPr>
                <w:sz w:val="24"/>
                <w:szCs w:val="24"/>
                <w:lang w:val="uk-UA"/>
              </w:rPr>
              <w:t xml:space="preserve"> цілей державного регулювання у сфері оренди комунального майна.</w:t>
            </w:r>
          </w:p>
          <w:p w:rsidR="00F164EC" w:rsidRPr="00647EAA" w:rsidRDefault="00F164EC" w:rsidP="00184AF1">
            <w:pPr>
              <w:spacing w:after="0" w:line="240" w:lineRule="auto"/>
              <w:ind w:left="1" w:right="54" w:firstLine="360"/>
              <w:rPr>
                <w:sz w:val="24"/>
                <w:szCs w:val="24"/>
                <w:lang w:val="uk-UA"/>
              </w:rPr>
            </w:pPr>
          </w:p>
        </w:tc>
      </w:tr>
    </w:tbl>
    <w:p w:rsidR="00F164EC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</w:p>
    <w:p w:rsidR="00F164EC" w:rsidRDefault="00F164EC" w:rsidP="00184AF1">
      <w:pPr>
        <w:pStyle w:val="1"/>
        <w:spacing w:after="0" w:line="240" w:lineRule="auto"/>
        <w:ind w:left="257" w:right="264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Оцінка впливу на сферу інтересів держави </w:t>
      </w:r>
    </w:p>
    <w:p w:rsidR="006521DD" w:rsidRPr="006521DD" w:rsidRDefault="006521DD" w:rsidP="006521DD">
      <w:pPr>
        <w:rPr>
          <w:sz w:val="16"/>
          <w:szCs w:val="16"/>
          <w:lang w:val="uk-UA"/>
        </w:rPr>
      </w:pPr>
    </w:p>
    <w:tbl>
      <w:tblPr>
        <w:tblW w:w="973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68" w:type="dxa"/>
          <w:right w:w="8" w:type="dxa"/>
        </w:tblCellMar>
        <w:tblLook w:val="00A0" w:firstRow="1" w:lastRow="0" w:firstColumn="1" w:lastColumn="0" w:noHBand="0" w:noVBand="0"/>
      </w:tblPr>
      <w:tblGrid>
        <w:gridCol w:w="2088"/>
        <w:gridCol w:w="3499"/>
        <w:gridCol w:w="4145"/>
      </w:tblGrid>
      <w:tr w:rsidR="00F164EC" w:rsidRPr="002F1441">
        <w:trPr>
          <w:trHeight w:val="698"/>
        </w:trPr>
        <w:tc>
          <w:tcPr>
            <w:tcW w:w="2088" w:type="dxa"/>
          </w:tcPr>
          <w:p w:rsidR="00F164EC" w:rsidRPr="002F1441" w:rsidRDefault="00F164EC" w:rsidP="00184AF1">
            <w:pPr>
              <w:spacing w:after="0" w:line="240" w:lineRule="auto"/>
              <w:ind w:left="7" w:right="8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3499" w:type="dxa"/>
          </w:tcPr>
          <w:p w:rsidR="00F164EC" w:rsidRPr="002F1441" w:rsidRDefault="00F164EC" w:rsidP="00184AF1">
            <w:pPr>
              <w:spacing w:after="0" w:line="240" w:lineRule="auto"/>
              <w:ind w:right="58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Вигоди </w:t>
            </w:r>
          </w:p>
        </w:tc>
        <w:tc>
          <w:tcPr>
            <w:tcW w:w="4145" w:type="dxa"/>
          </w:tcPr>
          <w:p w:rsidR="00F164EC" w:rsidRPr="002F1441" w:rsidRDefault="00F164EC" w:rsidP="00184AF1">
            <w:pPr>
              <w:spacing w:after="0" w:line="240" w:lineRule="auto"/>
              <w:ind w:right="88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F164EC" w:rsidRPr="00184AF1">
        <w:trPr>
          <w:trHeight w:val="2898"/>
        </w:trPr>
        <w:tc>
          <w:tcPr>
            <w:tcW w:w="2088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1 </w:t>
            </w:r>
          </w:p>
        </w:tc>
        <w:tc>
          <w:tcPr>
            <w:tcW w:w="3499" w:type="dxa"/>
          </w:tcPr>
          <w:p w:rsidR="00F164EC" w:rsidRPr="00647EAA" w:rsidRDefault="003C1B7F" w:rsidP="00184AF1">
            <w:pPr>
              <w:spacing w:after="0" w:line="240" w:lineRule="auto"/>
              <w:ind w:left="150" w:hanging="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Положення про оренду майна територіальної громади м. Харкова</w:t>
            </w:r>
            <w:r w:rsidRPr="00647EAA">
              <w:rPr>
                <w:sz w:val="24"/>
                <w:szCs w:val="24"/>
                <w:lang w:val="uk-UA"/>
              </w:rPr>
              <w:t xml:space="preserve"> </w:t>
            </w:r>
            <w:r w:rsidR="00F164EC" w:rsidRPr="00647EAA">
              <w:rPr>
                <w:sz w:val="24"/>
                <w:szCs w:val="24"/>
                <w:lang w:val="uk-UA"/>
              </w:rPr>
              <w:t>чітко регламентован</w:t>
            </w:r>
            <w:r w:rsidR="00021B76">
              <w:rPr>
                <w:sz w:val="24"/>
                <w:szCs w:val="24"/>
                <w:lang w:val="uk-UA"/>
              </w:rPr>
              <w:t>о</w:t>
            </w:r>
            <w:r w:rsidR="00F164EC" w:rsidRPr="00647EAA">
              <w:rPr>
                <w:sz w:val="24"/>
                <w:szCs w:val="24"/>
                <w:lang w:val="uk-UA"/>
              </w:rPr>
              <w:t xml:space="preserve"> і забезпечує виконання планового завдання з надходжень до місцевого бюджету від оренди. </w:t>
            </w:r>
          </w:p>
        </w:tc>
        <w:tc>
          <w:tcPr>
            <w:tcW w:w="4145" w:type="dxa"/>
          </w:tcPr>
          <w:p w:rsidR="00021B76" w:rsidRDefault="00021B76" w:rsidP="00184AF1">
            <w:pPr>
              <w:spacing w:after="0" w:line="240" w:lineRule="auto"/>
              <w:ind w:right="67" w:firstLine="43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Допущення дій, які містять ознаки порушення законодавства про захист економічної конкуренції, передбаченого абзацом 8 частини другої статті 15, пунктом 3 статті 50 Закону України «Про захист економічної конкуренції».</w:t>
            </w:r>
          </w:p>
          <w:p w:rsidR="00021B76" w:rsidRDefault="00F164EC" w:rsidP="00184AF1">
            <w:pPr>
              <w:spacing w:after="0" w:line="240" w:lineRule="auto"/>
              <w:ind w:right="67" w:firstLine="436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З урахуванням чинн</w:t>
            </w:r>
            <w:r w:rsidR="00021B76">
              <w:rPr>
                <w:sz w:val="24"/>
                <w:szCs w:val="24"/>
                <w:lang w:val="uk-UA"/>
              </w:rPr>
              <w:t>ої</w:t>
            </w:r>
            <w:r w:rsidRPr="00647EAA">
              <w:rPr>
                <w:sz w:val="24"/>
                <w:szCs w:val="24"/>
                <w:lang w:val="uk-UA"/>
              </w:rPr>
              <w:t xml:space="preserve"> редакці</w:t>
            </w:r>
            <w:r w:rsidR="00021B76">
              <w:rPr>
                <w:sz w:val="24"/>
                <w:szCs w:val="24"/>
                <w:lang w:val="uk-UA"/>
              </w:rPr>
              <w:t xml:space="preserve">ї Положення </w:t>
            </w:r>
            <w:r w:rsidRPr="00647EAA">
              <w:rPr>
                <w:sz w:val="24"/>
                <w:szCs w:val="24"/>
                <w:lang w:val="uk-UA"/>
              </w:rPr>
              <w:t xml:space="preserve">процедура передачі майна </w:t>
            </w:r>
            <w:r w:rsidR="00021B76">
              <w:rPr>
                <w:sz w:val="24"/>
                <w:szCs w:val="24"/>
                <w:lang w:val="uk-UA"/>
              </w:rPr>
              <w:t xml:space="preserve">на строк 3 роки і більше </w:t>
            </w:r>
            <w:r w:rsidRPr="00647EAA">
              <w:rPr>
                <w:sz w:val="24"/>
                <w:szCs w:val="24"/>
                <w:lang w:val="uk-UA"/>
              </w:rPr>
              <w:t xml:space="preserve">залишається не приведеною у відповідність до вимог чинного законодавства. </w:t>
            </w:r>
          </w:p>
          <w:p w:rsidR="00F164EC" w:rsidRPr="00647EAA" w:rsidRDefault="00F164EC" w:rsidP="00184AF1">
            <w:pPr>
              <w:spacing w:after="0" w:line="240" w:lineRule="auto"/>
              <w:ind w:right="67" w:firstLine="436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Через фінансове навантаження на орендарів комунальне майно на ринку оренди залишається менш привабливим</w:t>
            </w:r>
            <w:r w:rsidR="00021B76">
              <w:rPr>
                <w:sz w:val="24"/>
                <w:szCs w:val="24"/>
                <w:lang w:val="uk-UA"/>
              </w:rPr>
              <w:t xml:space="preserve"> </w:t>
            </w:r>
            <w:r w:rsidRPr="00647EAA">
              <w:rPr>
                <w:sz w:val="24"/>
                <w:szCs w:val="24"/>
                <w:lang w:val="uk-UA"/>
              </w:rPr>
              <w:t>і конкурентоспроможним порівняно з приватною нерухомістю.</w:t>
            </w:r>
          </w:p>
        </w:tc>
      </w:tr>
      <w:tr w:rsidR="00F164EC" w:rsidRPr="00184AF1">
        <w:trPr>
          <w:trHeight w:val="405"/>
        </w:trPr>
        <w:tc>
          <w:tcPr>
            <w:tcW w:w="2088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2 </w:t>
            </w:r>
          </w:p>
        </w:tc>
        <w:tc>
          <w:tcPr>
            <w:tcW w:w="3499" w:type="dxa"/>
          </w:tcPr>
          <w:p w:rsidR="00F164EC" w:rsidRPr="00647EAA" w:rsidRDefault="003C1B7F" w:rsidP="00184AF1">
            <w:pPr>
              <w:spacing w:after="0" w:line="240" w:lineRule="auto"/>
              <w:ind w:right="7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рекомендацій адміністративної колегії Харківського обласного територіального відділення Антимонопольного комітету України від 13.03.2018 № 20-рк/к, </w:t>
            </w:r>
            <w:r w:rsidR="00021B76">
              <w:rPr>
                <w:sz w:val="24"/>
                <w:szCs w:val="24"/>
                <w:lang w:val="uk-UA"/>
              </w:rPr>
              <w:t>які згідно з частиною другою статті 46 Закону України «Про захист економічної конкуренції»</w:t>
            </w:r>
            <w:r w:rsidR="00E77BF5">
              <w:rPr>
                <w:sz w:val="24"/>
                <w:szCs w:val="24"/>
                <w:lang w:val="uk-UA"/>
              </w:rPr>
              <w:t xml:space="preserve"> підлягають обов</w:t>
            </w:r>
            <w:r w:rsidR="00E77BF5" w:rsidRPr="00E77BF5">
              <w:rPr>
                <w:sz w:val="24"/>
                <w:szCs w:val="24"/>
                <w:lang w:val="uk-UA"/>
              </w:rPr>
              <w:t>’</w:t>
            </w:r>
            <w:r w:rsidR="00E77BF5">
              <w:rPr>
                <w:sz w:val="24"/>
                <w:szCs w:val="24"/>
                <w:lang w:val="uk-UA"/>
              </w:rPr>
              <w:t xml:space="preserve">язковому розгляду органами, яким вони надані; </w:t>
            </w:r>
            <w:r>
              <w:rPr>
                <w:sz w:val="24"/>
                <w:szCs w:val="24"/>
                <w:lang w:val="uk-UA"/>
              </w:rPr>
              <w:t xml:space="preserve">удосконалення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Положення про оренду майна територіальної громади м. Харкова, </w:t>
            </w:r>
            <w:r w:rsidR="00EE0600" w:rsidRPr="00647EAA">
              <w:rPr>
                <w:sz w:val="24"/>
                <w:szCs w:val="24"/>
                <w:lang w:val="uk-UA"/>
              </w:rPr>
              <w:t>можливість виконання органом місцевого самоврядування своїх соціальних зобов’язань</w:t>
            </w:r>
            <w:r w:rsidR="00F164EC" w:rsidRPr="00647E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5" w:type="dxa"/>
          </w:tcPr>
          <w:p w:rsidR="00F164EC" w:rsidRPr="00647EAA" w:rsidRDefault="00F164EC" w:rsidP="00184AF1">
            <w:pPr>
              <w:spacing w:after="0" w:line="240" w:lineRule="auto"/>
              <w:ind w:right="55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lastRenderedPageBreak/>
              <w:t xml:space="preserve">- </w:t>
            </w:r>
          </w:p>
        </w:tc>
      </w:tr>
    </w:tbl>
    <w:p w:rsidR="00F164EC" w:rsidRDefault="00F164EC" w:rsidP="00184AF1">
      <w:pPr>
        <w:pStyle w:val="1"/>
        <w:spacing w:after="0" w:line="240" w:lineRule="auto"/>
        <w:ind w:left="257" w:right="279"/>
        <w:rPr>
          <w:sz w:val="28"/>
          <w:szCs w:val="28"/>
          <w:lang w:val="uk-UA"/>
        </w:rPr>
      </w:pPr>
    </w:p>
    <w:p w:rsidR="00F164EC" w:rsidRDefault="00F164EC" w:rsidP="00184AF1">
      <w:pPr>
        <w:pStyle w:val="1"/>
        <w:spacing w:after="0" w:line="240" w:lineRule="auto"/>
        <w:ind w:left="257" w:right="279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Оцінка впливу на сферу інтересів громадян </w:t>
      </w:r>
    </w:p>
    <w:p w:rsidR="00F164EC" w:rsidRPr="006521DD" w:rsidRDefault="00F164EC" w:rsidP="00647EAA">
      <w:pPr>
        <w:rPr>
          <w:sz w:val="16"/>
          <w:szCs w:val="16"/>
          <w:lang w:val="uk-UA"/>
        </w:rPr>
      </w:pPr>
    </w:p>
    <w:tbl>
      <w:tblPr>
        <w:tblW w:w="973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68" w:type="dxa"/>
          <w:right w:w="8" w:type="dxa"/>
        </w:tblCellMar>
        <w:tblLook w:val="00A0" w:firstRow="1" w:lastRow="0" w:firstColumn="1" w:lastColumn="0" w:noHBand="0" w:noVBand="0"/>
      </w:tblPr>
      <w:tblGrid>
        <w:gridCol w:w="2283"/>
        <w:gridCol w:w="4235"/>
        <w:gridCol w:w="3214"/>
      </w:tblGrid>
      <w:tr w:rsidR="00F164EC" w:rsidRPr="002F1441">
        <w:trPr>
          <w:trHeight w:val="413"/>
        </w:trPr>
        <w:tc>
          <w:tcPr>
            <w:tcW w:w="2283" w:type="dxa"/>
          </w:tcPr>
          <w:p w:rsidR="00F164EC" w:rsidRPr="002F1441" w:rsidRDefault="00F164EC" w:rsidP="00184AF1">
            <w:pPr>
              <w:spacing w:after="0" w:line="240" w:lineRule="auto"/>
              <w:ind w:left="60" w:firstLine="0"/>
              <w:jc w:val="left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4235" w:type="dxa"/>
          </w:tcPr>
          <w:p w:rsidR="00F164EC" w:rsidRPr="002F1441" w:rsidRDefault="00F164EC" w:rsidP="00184AF1">
            <w:pPr>
              <w:spacing w:after="0" w:line="240" w:lineRule="auto"/>
              <w:ind w:right="73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Вигоди </w:t>
            </w:r>
          </w:p>
        </w:tc>
        <w:tc>
          <w:tcPr>
            <w:tcW w:w="3214" w:type="dxa"/>
          </w:tcPr>
          <w:p w:rsidR="00F164EC" w:rsidRPr="002F1441" w:rsidRDefault="00F164EC" w:rsidP="00184AF1">
            <w:pPr>
              <w:spacing w:after="0" w:line="240" w:lineRule="auto"/>
              <w:ind w:right="88" w:firstLine="0"/>
              <w:jc w:val="center"/>
              <w:rPr>
                <w:sz w:val="24"/>
                <w:szCs w:val="24"/>
                <w:lang w:val="uk-UA"/>
              </w:rPr>
            </w:pPr>
            <w:r w:rsidRPr="002F1441">
              <w:rPr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F164EC" w:rsidRPr="00647EAA">
        <w:trPr>
          <w:trHeight w:val="1786"/>
        </w:trPr>
        <w:tc>
          <w:tcPr>
            <w:tcW w:w="2283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1 </w:t>
            </w:r>
          </w:p>
        </w:tc>
        <w:tc>
          <w:tcPr>
            <w:tcW w:w="4235" w:type="dxa"/>
          </w:tcPr>
          <w:p w:rsidR="00F164EC" w:rsidRPr="00647EAA" w:rsidRDefault="00F164EC" w:rsidP="00184AF1">
            <w:pPr>
              <w:spacing w:after="0" w:line="240" w:lineRule="auto"/>
              <w:ind w:right="48" w:firstLine="39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Чинн</w:t>
            </w:r>
            <w:r w:rsidR="00BE6987">
              <w:rPr>
                <w:sz w:val="24"/>
                <w:szCs w:val="24"/>
                <w:lang w:val="uk-UA"/>
              </w:rPr>
              <w:t>а</w:t>
            </w:r>
            <w:r w:rsidRPr="00647EAA">
              <w:rPr>
                <w:sz w:val="24"/>
                <w:szCs w:val="24"/>
                <w:lang w:val="uk-UA"/>
              </w:rPr>
              <w:t xml:space="preserve"> редакції Положення</w:t>
            </w:r>
            <w:r w:rsidR="00BE6987">
              <w:rPr>
                <w:sz w:val="24"/>
                <w:szCs w:val="24"/>
                <w:lang w:val="uk-UA"/>
              </w:rPr>
              <w:t xml:space="preserve"> </w:t>
            </w:r>
            <w:r w:rsidRPr="00647EAA">
              <w:rPr>
                <w:sz w:val="24"/>
                <w:szCs w:val="24"/>
                <w:lang w:val="uk-UA"/>
              </w:rPr>
              <w:t>забезпечу</w:t>
            </w:r>
            <w:r w:rsidR="00BE6987">
              <w:rPr>
                <w:sz w:val="24"/>
                <w:szCs w:val="24"/>
                <w:lang w:val="uk-UA"/>
              </w:rPr>
              <w:t>є</w:t>
            </w:r>
            <w:r w:rsidRPr="00647EAA">
              <w:rPr>
                <w:sz w:val="24"/>
                <w:szCs w:val="24"/>
                <w:lang w:val="uk-UA"/>
              </w:rPr>
              <w:t xml:space="preserve"> виконання планових завдань по надходженню до місцевого бюджету  орендної плати.</w:t>
            </w:r>
          </w:p>
        </w:tc>
        <w:tc>
          <w:tcPr>
            <w:tcW w:w="3214" w:type="dxa"/>
          </w:tcPr>
          <w:p w:rsidR="00F164EC" w:rsidRPr="00647EAA" w:rsidRDefault="00F164EC" w:rsidP="00184AF1">
            <w:pPr>
              <w:spacing w:after="0" w:line="240" w:lineRule="auto"/>
              <w:ind w:right="55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- </w:t>
            </w:r>
          </w:p>
        </w:tc>
      </w:tr>
      <w:tr w:rsidR="00F164EC" w:rsidRPr="00647EAA">
        <w:trPr>
          <w:trHeight w:val="420"/>
        </w:trPr>
        <w:tc>
          <w:tcPr>
            <w:tcW w:w="2283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2 </w:t>
            </w:r>
          </w:p>
        </w:tc>
        <w:tc>
          <w:tcPr>
            <w:tcW w:w="4235" w:type="dxa"/>
          </w:tcPr>
          <w:p w:rsidR="00BE6987" w:rsidRPr="00647EAA" w:rsidRDefault="00BE6987" w:rsidP="00BE6987">
            <w:pPr>
              <w:spacing w:after="0" w:line="240" w:lineRule="auto"/>
              <w:ind w:right="27" w:firstLine="3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Дотримання рівних умов </w:t>
            </w:r>
            <w:r w:rsidR="00D24067">
              <w:rPr>
                <w:sz w:val="24"/>
                <w:szCs w:val="24"/>
                <w:lang w:val="uk-UA"/>
              </w:rPr>
              <w:t>серед суб</w:t>
            </w:r>
            <w:r w:rsidR="00D24067" w:rsidRPr="00D24067">
              <w:rPr>
                <w:sz w:val="24"/>
                <w:szCs w:val="24"/>
                <w:lang w:val="uk-UA"/>
              </w:rPr>
              <w:t>’</w:t>
            </w:r>
            <w:r w:rsidR="00D24067">
              <w:rPr>
                <w:sz w:val="24"/>
                <w:szCs w:val="24"/>
                <w:lang w:val="uk-UA"/>
              </w:rPr>
              <w:t>єктів господарювання на ринку роздрібної торгівлі лікарськими засобами; м</w:t>
            </w:r>
            <w:r w:rsidRPr="00647EAA">
              <w:rPr>
                <w:sz w:val="24"/>
                <w:szCs w:val="24"/>
                <w:lang w:val="uk-UA"/>
              </w:rPr>
              <w:t xml:space="preserve">ожливість підвищення соціальних стандартів для тих категорій громадян, які отримують її з відповідного бюджету. </w:t>
            </w:r>
          </w:p>
          <w:p w:rsidR="00F164EC" w:rsidRPr="00647EAA" w:rsidRDefault="00F164EC" w:rsidP="00184AF1">
            <w:pPr>
              <w:spacing w:after="0" w:line="240" w:lineRule="auto"/>
              <w:ind w:right="55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14" w:type="dxa"/>
          </w:tcPr>
          <w:p w:rsidR="00F164EC" w:rsidRPr="00647EAA" w:rsidRDefault="00F164EC" w:rsidP="00184AF1">
            <w:pPr>
              <w:spacing w:after="0" w:line="240" w:lineRule="auto"/>
              <w:ind w:right="55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- </w:t>
            </w:r>
          </w:p>
        </w:tc>
      </w:tr>
    </w:tbl>
    <w:p w:rsidR="00F164EC" w:rsidRPr="00184AF1" w:rsidRDefault="00F164EC" w:rsidP="00184AF1">
      <w:pPr>
        <w:pStyle w:val="1"/>
        <w:spacing w:after="0" w:line="240" w:lineRule="auto"/>
        <w:ind w:left="257" w:right="273"/>
        <w:rPr>
          <w:color w:val="auto"/>
          <w:sz w:val="28"/>
          <w:szCs w:val="28"/>
        </w:rPr>
      </w:pPr>
    </w:p>
    <w:p w:rsidR="00F164EC" w:rsidRPr="00184AF1" w:rsidRDefault="00F164EC" w:rsidP="00184AF1">
      <w:pPr>
        <w:pStyle w:val="1"/>
        <w:spacing w:after="0" w:line="240" w:lineRule="auto"/>
        <w:ind w:left="257" w:right="273"/>
        <w:rPr>
          <w:color w:val="auto"/>
          <w:sz w:val="28"/>
          <w:szCs w:val="28"/>
          <w:lang w:val="uk-UA"/>
        </w:rPr>
      </w:pPr>
      <w:r w:rsidRPr="00184AF1">
        <w:rPr>
          <w:color w:val="auto"/>
          <w:sz w:val="28"/>
          <w:szCs w:val="28"/>
          <w:lang w:val="uk-UA"/>
        </w:rPr>
        <w:t xml:space="preserve">Оцінка впливу на сферу інтересів суб'єктів господарювання </w:t>
      </w:r>
    </w:p>
    <w:p w:rsidR="00F164EC" w:rsidRPr="006521DD" w:rsidRDefault="00F164EC" w:rsidP="00184AF1">
      <w:pPr>
        <w:spacing w:after="0" w:line="240" w:lineRule="auto"/>
        <w:rPr>
          <w:sz w:val="16"/>
          <w:szCs w:val="16"/>
          <w:lang w:val="uk-UA"/>
        </w:rPr>
      </w:pPr>
    </w:p>
    <w:tbl>
      <w:tblPr>
        <w:tblW w:w="9732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2402"/>
        <w:gridCol w:w="1472"/>
        <w:gridCol w:w="1562"/>
        <w:gridCol w:w="1457"/>
        <w:gridCol w:w="1465"/>
        <w:gridCol w:w="1374"/>
      </w:tblGrid>
      <w:tr w:rsidR="00F164EC" w:rsidRPr="002F1441">
        <w:trPr>
          <w:trHeight w:val="413"/>
        </w:trPr>
        <w:tc>
          <w:tcPr>
            <w:tcW w:w="2403" w:type="dxa"/>
          </w:tcPr>
          <w:p w:rsidR="00F164EC" w:rsidRPr="002F1441" w:rsidRDefault="00F164EC" w:rsidP="00184AF1">
            <w:pPr>
              <w:spacing w:after="0" w:line="240" w:lineRule="auto"/>
              <w:ind w:right="28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1472" w:type="dxa"/>
          </w:tcPr>
          <w:p w:rsidR="00F164EC" w:rsidRPr="002F1441" w:rsidRDefault="00F164EC" w:rsidP="00184AF1">
            <w:pPr>
              <w:spacing w:after="0" w:line="240" w:lineRule="auto"/>
              <w:ind w:right="1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Великі </w:t>
            </w:r>
          </w:p>
        </w:tc>
        <w:tc>
          <w:tcPr>
            <w:tcW w:w="1562" w:type="dxa"/>
          </w:tcPr>
          <w:p w:rsidR="00F164EC" w:rsidRPr="002F1441" w:rsidRDefault="00F164EC" w:rsidP="00184AF1">
            <w:pPr>
              <w:spacing w:after="0" w:line="240" w:lineRule="auto"/>
              <w:ind w:right="1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Середні </w:t>
            </w:r>
          </w:p>
        </w:tc>
        <w:tc>
          <w:tcPr>
            <w:tcW w:w="1457" w:type="dxa"/>
          </w:tcPr>
          <w:p w:rsidR="00F164EC" w:rsidRPr="002F1441" w:rsidRDefault="00F164EC" w:rsidP="00184AF1">
            <w:pPr>
              <w:spacing w:after="0" w:line="240" w:lineRule="auto"/>
              <w:ind w:left="22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Малі </w:t>
            </w:r>
          </w:p>
        </w:tc>
        <w:tc>
          <w:tcPr>
            <w:tcW w:w="1465" w:type="dxa"/>
          </w:tcPr>
          <w:p w:rsidR="00F164EC" w:rsidRPr="002F1441" w:rsidRDefault="00F164EC" w:rsidP="00184AF1">
            <w:pPr>
              <w:spacing w:after="0" w:line="240" w:lineRule="auto"/>
              <w:ind w:right="23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Мікро </w:t>
            </w:r>
          </w:p>
        </w:tc>
        <w:tc>
          <w:tcPr>
            <w:tcW w:w="1374" w:type="dxa"/>
          </w:tcPr>
          <w:p w:rsidR="00F164EC" w:rsidRPr="002F1441" w:rsidRDefault="00F164EC" w:rsidP="00184AF1">
            <w:pPr>
              <w:spacing w:after="0" w:line="240" w:lineRule="auto"/>
              <w:ind w:righ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F1441">
              <w:rPr>
                <w:color w:val="auto"/>
                <w:sz w:val="24"/>
                <w:szCs w:val="24"/>
                <w:lang w:val="uk-UA"/>
              </w:rPr>
              <w:t xml:space="preserve">Разом </w:t>
            </w:r>
          </w:p>
        </w:tc>
      </w:tr>
      <w:tr w:rsidR="00F164EC" w:rsidRPr="00647EAA">
        <w:trPr>
          <w:trHeight w:val="1516"/>
        </w:trPr>
        <w:tc>
          <w:tcPr>
            <w:tcW w:w="2403" w:type="dxa"/>
          </w:tcPr>
          <w:p w:rsidR="00F164EC" w:rsidRPr="00647EAA" w:rsidRDefault="00F164EC" w:rsidP="00184AF1">
            <w:pPr>
              <w:spacing w:after="0" w:line="240" w:lineRule="auto"/>
              <w:ind w:right="43" w:firstLine="0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Кількість суб'єктів господарювання, що підпадають під дію регулювання, одиниць (орієнтовно) </w:t>
            </w:r>
          </w:p>
        </w:tc>
        <w:tc>
          <w:tcPr>
            <w:tcW w:w="1472" w:type="dxa"/>
          </w:tcPr>
          <w:p w:rsidR="00F164EC" w:rsidRPr="00647EAA" w:rsidRDefault="00F164EC" w:rsidP="00184AF1">
            <w:pPr>
              <w:spacing w:after="0" w:line="240" w:lineRule="auto"/>
              <w:ind w:right="16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AB3544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562" w:type="dxa"/>
          </w:tcPr>
          <w:p w:rsidR="00F164EC" w:rsidRPr="00647EAA" w:rsidRDefault="00AB3544" w:rsidP="00184AF1">
            <w:pPr>
              <w:spacing w:after="0" w:line="240" w:lineRule="auto"/>
              <w:ind w:right="7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457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465" w:type="dxa"/>
          </w:tcPr>
          <w:p w:rsidR="00F164EC" w:rsidRPr="00647EAA" w:rsidRDefault="00F164EC" w:rsidP="00184AF1">
            <w:pPr>
              <w:spacing w:after="0" w:line="240" w:lineRule="auto"/>
              <w:ind w:right="9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374" w:type="dxa"/>
          </w:tcPr>
          <w:p w:rsidR="00F164EC" w:rsidRPr="00647EAA" w:rsidRDefault="00F164EC" w:rsidP="00184AF1">
            <w:pPr>
              <w:spacing w:after="0" w:line="240" w:lineRule="auto"/>
              <w:ind w:right="23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AB3544">
              <w:rPr>
                <w:color w:val="auto"/>
                <w:sz w:val="24"/>
                <w:szCs w:val="24"/>
                <w:lang w:val="uk-UA"/>
              </w:rPr>
              <w:t>1</w:t>
            </w:r>
            <w:r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:rsidR="00F164EC" w:rsidRPr="00647EAA">
        <w:trPr>
          <w:trHeight w:val="968"/>
        </w:trPr>
        <w:tc>
          <w:tcPr>
            <w:tcW w:w="2403" w:type="dxa"/>
          </w:tcPr>
          <w:p w:rsidR="00F164EC" w:rsidRPr="00647EAA" w:rsidRDefault="00F164EC" w:rsidP="00184AF1">
            <w:pPr>
              <w:spacing w:after="0" w:line="240" w:lineRule="auto"/>
              <w:ind w:right="170" w:firstLine="0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Питома вага групи у загальній кількості, відсотків </w:t>
            </w:r>
          </w:p>
        </w:tc>
        <w:tc>
          <w:tcPr>
            <w:tcW w:w="1472" w:type="dxa"/>
          </w:tcPr>
          <w:p w:rsidR="00F164EC" w:rsidRPr="00647EAA" w:rsidRDefault="00AB3544" w:rsidP="00184AF1">
            <w:pPr>
              <w:spacing w:after="0" w:line="240" w:lineRule="auto"/>
              <w:ind w:right="16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2" w:type="dxa"/>
          </w:tcPr>
          <w:p w:rsidR="00F164EC" w:rsidRPr="00647EAA" w:rsidRDefault="00AB3544" w:rsidP="00184AF1">
            <w:pPr>
              <w:spacing w:after="0" w:line="240" w:lineRule="auto"/>
              <w:ind w:right="1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57" w:type="dxa"/>
          </w:tcPr>
          <w:p w:rsidR="00F164EC" w:rsidRPr="00647EAA" w:rsidRDefault="00AB3544" w:rsidP="00184AF1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100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65" w:type="dxa"/>
          </w:tcPr>
          <w:p w:rsidR="00F164EC" w:rsidRPr="00647EAA" w:rsidRDefault="00F164EC" w:rsidP="00184AF1">
            <w:pPr>
              <w:spacing w:after="0" w:line="240" w:lineRule="auto"/>
              <w:ind w:right="69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-  </w:t>
            </w:r>
          </w:p>
        </w:tc>
        <w:tc>
          <w:tcPr>
            <w:tcW w:w="1374" w:type="dxa"/>
          </w:tcPr>
          <w:p w:rsidR="00F164EC" w:rsidRPr="00647EAA" w:rsidRDefault="00F164EC" w:rsidP="00184AF1">
            <w:pPr>
              <w:spacing w:after="0" w:line="240" w:lineRule="auto"/>
              <w:ind w:right="23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100 </w:t>
            </w:r>
          </w:p>
        </w:tc>
      </w:tr>
    </w:tbl>
    <w:p w:rsidR="00F164EC" w:rsidRPr="00184AF1" w:rsidRDefault="00F164EC" w:rsidP="00184AF1">
      <w:pPr>
        <w:spacing w:after="0" w:line="240" w:lineRule="auto"/>
        <w:ind w:firstLine="0"/>
        <w:jc w:val="left"/>
        <w:rPr>
          <w:color w:val="FF0000"/>
          <w:sz w:val="28"/>
          <w:szCs w:val="28"/>
          <w:lang w:val="uk-UA"/>
        </w:rPr>
      </w:pPr>
      <w:r w:rsidRPr="00184AF1">
        <w:rPr>
          <w:color w:val="FF0000"/>
          <w:sz w:val="28"/>
          <w:szCs w:val="28"/>
          <w:lang w:val="uk-UA"/>
        </w:rPr>
        <w:t xml:space="preserve"> </w:t>
      </w:r>
    </w:p>
    <w:p w:rsidR="00F164EC" w:rsidRPr="00DB7950" w:rsidRDefault="00F164EC" w:rsidP="00184AF1">
      <w:pPr>
        <w:spacing w:after="0" w:line="240" w:lineRule="auto"/>
        <w:ind w:firstLine="0"/>
        <w:jc w:val="left"/>
        <w:rPr>
          <w:color w:val="FF0000"/>
          <w:sz w:val="16"/>
          <w:szCs w:val="16"/>
          <w:lang w:val="uk-UA"/>
        </w:rPr>
      </w:pPr>
      <w:r w:rsidRPr="00184AF1">
        <w:rPr>
          <w:sz w:val="28"/>
          <w:szCs w:val="28"/>
          <w:lang w:val="uk-UA"/>
        </w:rPr>
        <w:t xml:space="preserve"> </w:t>
      </w:r>
    </w:p>
    <w:tbl>
      <w:tblPr>
        <w:tblW w:w="9732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68" w:type="dxa"/>
          <w:right w:w="55" w:type="dxa"/>
        </w:tblCellMar>
        <w:tblLook w:val="00A0" w:firstRow="1" w:lastRow="0" w:firstColumn="1" w:lastColumn="0" w:noHBand="0" w:noVBand="0"/>
      </w:tblPr>
      <w:tblGrid>
        <w:gridCol w:w="2464"/>
        <w:gridCol w:w="4820"/>
        <w:gridCol w:w="2448"/>
      </w:tblGrid>
      <w:tr w:rsidR="00F164EC" w:rsidRPr="00647EAA" w:rsidTr="00DB7950">
        <w:trPr>
          <w:trHeight w:val="413"/>
        </w:trPr>
        <w:tc>
          <w:tcPr>
            <w:tcW w:w="2464" w:type="dxa"/>
          </w:tcPr>
          <w:p w:rsidR="00F164EC" w:rsidRPr="00647EAA" w:rsidRDefault="00F164EC" w:rsidP="00184AF1">
            <w:pPr>
              <w:spacing w:after="0" w:line="240" w:lineRule="auto"/>
              <w:ind w:right="8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Вид альтернативи </w:t>
            </w:r>
          </w:p>
        </w:tc>
        <w:tc>
          <w:tcPr>
            <w:tcW w:w="4820" w:type="dxa"/>
          </w:tcPr>
          <w:p w:rsidR="00F164EC" w:rsidRPr="00647EAA" w:rsidRDefault="00F164EC" w:rsidP="00184AF1">
            <w:pPr>
              <w:spacing w:after="0" w:line="240" w:lineRule="auto"/>
              <w:ind w:right="36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Вигоди </w:t>
            </w:r>
          </w:p>
        </w:tc>
        <w:tc>
          <w:tcPr>
            <w:tcW w:w="2448" w:type="dxa"/>
          </w:tcPr>
          <w:p w:rsidR="00F164EC" w:rsidRPr="00647EAA" w:rsidRDefault="00F164EC" w:rsidP="00184AF1">
            <w:pPr>
              <w:spacing w:after="0" w:line="240" w:lineRule="auto"/>
              <w:ind w:right="21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F164EC" w:rsidRPr="00647EAA" w:rsidTr="00DB7950">
        <w:trPr>
          <w:trHeight w:val="961"/>
        </w:trPr>
        <w:tc>
          <w:tcPr>
            <w:tcW w:w="2464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Альтернатива 1 </w:t>
            </w:r>
          </w:p>
        </w:tc>
        <w:tc>
          <w:tcPr>
            <w:tcW w:w="4820" w:type="dxa"/>
          </w:tcPr>
          <w:p w:rsidR="00F164EC" w:rsidRPr="00647EAA" w:rsidRDefault="00AB3544" w:rsidP="00184AF1">
            <w:pPr>
              <w:spacing w:after="0" w:line="240" w:lineRule="auto"/>
              <w:ind w:right="8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Надання одному аптечному закладу нижчої орендної ставки порівняно з іншими учасниками ринку, що призводить до зниження рівня загальних витрат цього </w:t>
            </w:r>
            <w:proofErr w:type="spellStart"/>
            <w:r>
              <w:rPr>
                <w:color w:val="auto"/>
                <w:sz w:val="24"/>
                <w:szCs w:val="24"/>
                <w:lang w:val="uk-UA"/>
              </w:rPr>
              <w:t>суб</w:t>
            </w:r>
            <w:proofErr w:type="spellEnd"/>
            <w:r w:rsidRPr="00AB3544">
              <w:rPr>
                <w:color w:val="auto"/>
                <w:sz w:val="24"/>
                <w:szCs w:val="24"/>
              </w:rPr>
              <w:t>’</w:t>
            </w:r>
            <w:proofErr w:type="spellStart"/>
            <w:r>
              <w:rPr>
                <w:color w:val="auto"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color w:val="auto"/>
                <w:sz w:val="24"/>
                <w:szCs w:val="24"/>
                <w:lang w:val="uk-UA"/>
              </w:rPr>
              <w:t xml:space="preserve"> на утримання  аптечної мережі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8" w:type="dxa"/>
          </w:tcPr>
          <w:p w:rsidR="00F164EC" w:rsidRPr="00647EAA" w:rsidRDefault="00AB3544" w:rsidP="00184AF1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F164EC" w:rsidRPr="00647EAA" w:rsidTr="00DB7950">
        <w:trPr>
          <w:trHeight w:val="1212"/>
        </w:trPr>
        <w:tc>
          <w:tcPr>
            <w:tcW w:w="2464" w:type="dxa"/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647EAA">
              <w:rPr>
                <w:color w:val="auto"/>
                <w:sz w:val="24"/>
                <w:szCs w:val="24"/>
                <w:lang w:val="uk-UA"/>
              </w:rPr>
              <w:t xml:space="preserve">Альтернатива </w:t>
            </w:r>
            <w:r w:rsidR="00AB3544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F164EC" w:rsidRPr="00647EAA" w:rsidRDefault="00AB3544" w:rsidP="00184AF1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Дотримання норм діючого законодавства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8" w:type="dxa"/>
          </w:tcPr>
          <w:p w:rsidR="00F164EC" w:rsidRPr="00647EAA" w:rsidRDefault="00AB3544" w:rsidP="00184AF1">
            <w:pPr>
              <w:spacing w:after="0" w:line="240" w:lineRule="auto"/>
              <w:ind w:right="8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Ознайомлення та оформлення додаткових угод</w:t>
            </w:r>
            <w:r w:rsidR="00F164EC" w:rsidRPr="00647EA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164EC" w:rsidRDefault="00F164EC" w:rsidP="00184AF1">
      <w:pPr>
        <w:pStyle w:val="1"/>
        <w:spacing w:after="0" w:line="240" w:lineRule="auto"/>
        <w:ind w:left="257" w:right="19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lastRenderedPageBreak/>
        <w:t xml:space="preserve">IV. Вибір найбільш оптимального альтернативного способу досягнення цілей </w:t>
      </w:r>
    </w:p>
    <w:p w:rsidR="006521DD" w:rsidRPr="006521DD" w:rsidRDefault="006521DD" w:rsidP="006521DD">
      <w:pPr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цілей. 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Вартість балів визначається за чотирибальною системою оцінки ступеня досягнення визначених цілей. </w:t>
      </w:r>
    </w:p>
    <w:p w:rsidR="00F164EC" w:rsidRPr="00184AF1" w:rsidRDefault="00F164EC" w:rsidP="00184AF1">
      <w:pPr>
        <w:spacing w:after="0" w:line="240" w:lineRule="auto"/>
        <w:ind w:left="36" w:firstLine="0"/>
        <w:jc w:val="center"/>
        <w:rPr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 </w:t>
      </w:r>
    </w:p>
    <w:tbl>
      <w:tblPr>
        <w:tblW w:w="9732" w:type="dxa"/>
        <w:tblInd w:w="-35" w:type="dxa"/>
        <w:tblCellMar>
          <w:top w:w="100" w:type="dxa"/>
          <w:left w:w="67" w:type="dxa"/>
          <w:right w:w="8" w:type="dxa"/>
        </w:tblCellMar>
        <w:tblLook w:val="00A0" w:firstRow="1" w:lastRow="0" w:firstColumn="1" w:lastColumn="0" w:noHBand="0" w:noVBand="0"/>
      </w:tblPr>
      <w:tblGrid>
        <w:gridCol w:w="3019"/>
        <w:gridCol w:w="2208"/>
        <w:gridCol w:w="4505"/>
      </w:tblGrid>
      <w:tr w:rsidR="00810AD3" w:rsidRPr="00647EAA" w:rsidTr="00DB7950">
        <w:trPr>
          <w:trHeight w:val="1319"/>
        </w:trPr>
        <w:tc>
          <w:tcPr>
            <w:tcW w:w="3019" w:type="dxa"/>
            <w:tcBorders>
              <w:top w:val="single" w:sz="6" w:space="0" w:color="ACA899"/>
              <w:left w:val="single" w:sz="6" w:space="0" w:color="ECE9D8"/>
              <w:right w:val="single" w:sz="6" w:space="0" w:color="ACA899"/>
            </w:tcBorders>
          </w:tcPr>
          <w:p w:rsidR="00810AD3" w:rsidRDefault="00810AD3" w:rsidP="00810AD3">
            <w:pPr>
              <w:spacing w:after="0" w:line="240" w:lineRule="auto"/>
              <w:ind w:left="90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Рейтинг результативності</w:t>
            </w:r>
          </w:p>
          <w:p w:rsidR="00810AD3" w:rsidRDefault="00810AD3" w:rsidP="00810AD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(досягнення цілей</w:t>
            </w:r>
          </w:p>
          <w:p w:rsidR="00810AD3" w:rsidRDefault="00810AD3" w:rsidP="00810AD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під час</w:t>
            </w:r>
          </w:p>
          <w:p w:rsidR="00810AD3" w:rsidRPr="00647EAA" w:rsidRDefault="00810AD3" w:rsidP="00810AD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вирішення проблеми)</w:t>
            </w:r>
          </w:p>
        </w:tc>
        <w:tc>
          <w:tcPr>
            <w:tcW w:w="2208" w:type="dxa"/>
            <w:tcBorders>
              <w:top w:val="single" w:sz="6" w:space="0" w:color="ACA899"/>
              <w:left w:val="single" w:sz="6" w:space="0" w:color="ACA899"/>
              <w:right w:val="single" w:sz="6" w:space="0" w:color="ACA899"/>
            </w:tcBorders>
          </w:tcPr>
          <w:p w:rsidR="00810AD3" w:rsidRPr="00647EAA" w:rsidRDefault="00810AD3" w:rsidP="00810AD3">
            <w:pPr>
              <w:spacing w:after="0" w:line="240" w:lineRule="auto"/>
              <w:ind w:right="44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Бал</w:t>
            </w:r>
          </w:p>
          <w:p w:rsidR="00810AD3" w:rsidRPr="00647EAA" w:rsidRDefault="00810AD3" w:rsidP="00810AD3">
            <w:pPr>
              <w:spacing w:after="0" w:line="240" w:lineRule="auto"/>
              <w:ind w:right="42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результативності</w:t>
            </w:r>
          </w:p>
          <w:p w:rsidR="00810AD3" w:rsidRPr="00647EAA" w:rsidRDefault="00810AD3" w:rsidP="00810AD3">
            <w:pPr>
              <w:spacing w:after="0"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(за чотирибальною системою оцінки)</w:t>
            </w:r>
          </w:p>
        </w:tc>
        <w:tc>
          <w:tcPr>
            <w:tcW w:w="4505" w:type="dxa"/>
            <w:tcBorders>
              <w:top w:val="single" w:sz="6" w:space="0" w:color="ACA899"/>
              <w:left w:val="single" w:sz="6" w:space="0" w:color="ACA899"/>
              <w:right w:val="single" w:sz="6" w:space="0" w:color="ACA899"/>
            </w:tcBorders>
          </w:tcPr>
          <w:p w:rsidR="00810AD3" w:rsidRPr="00647EAA" w:rsidRDefault="00810AD3" w:rsidP="00810AD3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Коментарі щодо присвоєння відповідного</w:t>
            </w:r>
          </w:p>
          <w:p w:rsidR="00810AD3" w:rsidRPr="00647EAA" w:rsidRDefault="00810AD3" w:rsidP="00810AD3">
            <w:pPr>
              <w:spacing w:after="0" w:line="240" w:lineRule="auto"/>
              <w:ind w:right="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47EAA">
              <w:rPr>
                <w:sz w:val="24"/>
                <w:szCs w:val="24"/>
                <w:lang w:val="uk-UA"/>
              </w:rPr>
              <w:t>бала</w:t>
            </w:r>
            <w:proofErr w:type="spellEnd"/>
          </w:p>
        </w:tc>
      </w:tr>
      <w:tr w:rsidR="00F164EC" w:rsidRPr="00647EAA" w:rsidTr="00DB7950">
        <w:trPr>
          <w:trHeight w:val="1028"/>
        </w:trPr>
        <w:tc>
          <w:tcPr>
            <w:tcW w:w="301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:rsidR="00F164EC" w:rsidRPr="00647EAA" w:rsidRDefault="00F164EC" w:rsidP="00184AF1">
            <w:pPr>
              <w:spacing w:after="0" w:line="240" w:lineRule="auto"/>
              <w:ind w:right="55" w:firstLine="361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1 - </w:t>
            </w:r>
            <w:r w:rsidR="00810AD3">
              <w:rPr>
                <w:sz w:val="24"/>
                <w:szCs w:val="24"/>
                <w:lang w:val="uk-UA"/>
              </w:rPr>
              <w:t>з</w:t>
            </w:r>
            <w:r w:rsidRPr="00647EAA">
              <w:rPr>
                <w:sz w:val="24"/>
                <w:szCs w:val="24"/>
                <w:lang w:val="uk-UA"/>
              </w:rPr>
              <w:t>алишити без змін діюч</w:t>
            </w:r>
            <w:r w:rsidR="00810AD3">
              <w:rPr>
                <w:sz w:val="24"/>
                <w:szCs w:val="24"/>
                <w:lang w:val="uk-UA"/>
              </w:rPr>
              <w:t>у</w:t>
            </w:r>
            <w:r w:rsidRPr="00647EAA">
              <w:rPr>
                <w:sz w:val="24"/>
                <w:szCs w:val="24"/>
                <w:lang w:val="uk-UA"/>
              </w:rPr>
              <w:t xml:space="preserve"> редакці</w:t>
            </w:r>
            <w:r w:rsidR="00810AD3">
              <w:rPr>
                <w:sz w:val="24"/>
                <w:szCs w:val="24"/>
                <w:lang w:val="uk-UA"/>
              </w:rPr>
              <w:t xml:space="preserve">ю </w:t>
            </w:r>
            <w:r w:rsidRPr="00647EAA">
              <w:rPr>
                <w:sz w:val="24"/>
                <w:szCs w:val="24"/>
                <w:lang w:val="uk-UA"/>
              </w:rPr>
              <w:t xml:space="preserve">Положення. </w:t>
            </w:r>
          </w:p>
        </w:tc>
        <w:tc>
          <w:tcPr>
            <w:tcW w:w="2208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F164EC" w:rsidRPr="00647EAA" w:rsidRDefault="00810AD3" w:rsidP="00184AF1">
            <w:pPr>
              <w:spacing w:after="0" w:line="240" w:lineRule="auto"/>
              <w:ind w:right="6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F164EC" w:rsidRPr="00647E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F164EC" w:rsidRPr="00647EAA" w:rsidRDefault="00F164EC" w:rsidP="00184AF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Є найбільш недоцільним оскільки не дозволить досягнути цілей державного регулювання. </w:t>
            </w:r>
          </w:p>
        </w:tc>
      </w:tr>
      <w:tr w:rsidR="00F164EC" w:rsidRPr="002C159E">
        <w:trPr>
          <w:trHeight w:val="1516"/>
        </w:trPr>
        <w:tc>
          <w:tcPr>
            <w:tcW w:w="3019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:rsidR="00F164EC" w:rsidRPr="00647EAA" w:rsidRDefault="00F164EC" w:rsidP="00184AF1">
            <w:pPr>
              <w:spacing w:after="0" w:line="240" w:lineRule="auto"/>
              <w:ind w:right="55" w:firstLine="361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Альтернатива 2 - </w:t>
            </w:r>
            <w:proofErr w:type="spellStart"/>
            <w:r w:rsidR="00810AD3">
              <w:rPr>
                <w:sz w:val="24"/>
                <w:szCs w:val="24"/>
                <w:lang w:val="uk-UA"/>
              </w:rPr>
              <w:t>в</w:t>
            </w:r>
            <w:r w:rsidRPr="00647EAA">
              <w:rPr>
                <w:sz w:val="24"/>
                <w:szCs w:val="24"/>
                <w:lang w:val="uk-UA"/>
              </w:rPr>
              <w:t>нести</w:t>
            </w:r>
            <w:proofErr w:type="spellEnd"/>
            <w:r w:rsidRPr="00647EAA">
              <w:rPr>
                <w:sz w:val="24"/>
                <w:szCs w:val="24"/>
                <w:lang w:val="uk-UA"/>
              </w:rPr>
              <w:t xml:space="preserve"> зміни до чинн</w:t>
            </w:r>
            <w:r w:rsidR="00810AD3">
              <w:rPr>
                <w:sz w:val="24"/>
                <w:szCs w:val="24"/>
                <w:lang w:val="uk-UA"/>
              </w:rPr>
              <w:t xml:space="preserve">ої </w:t>
            </w:r>
            <w:r w:rsidRPr="00647EAA">
              <w:rPr>
                <w:sz w:val="24"/>
                <w:szCs w:val="24"/>
                <w:lang w:val="uk-UA"/>
              </w:rPr>
              <w:t>редакці</w:t>
            </w:r>
            <w:r w:rsidR="00810AD3">
              <w:rPr>
                <w:sz w:val="24"/>
                <w:szCs w:val="24"/>
                <w:lang w:val="uk-UA"/>
              </w:rPr>
              <w:t xml:space="preserve">ї </w:t>
            </w:r>
            <w:r w:rsidRPr="00647EAA">
              <w:rPr>
                <w:sz w:val="24"/>
                <w:szCs w:val="24"/>
                <w:lang w:val="uk-UA"/>
              </w:rPr>
              <w:t xml:space="preserve">Положення. </w:t>
            </w:r>
          </w:p>
        </w:tc>
        <w:tc>
          <w:tcPr>
            <w:tcW w:w="2208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F164EC" w:rsidRPr="00647EAA" w:rsidRDefault="00810AD3" w:rsidP="00810AD3">
            <w:pPr>
              <w:spacing w:after="0" w:line="240" w:lineRule="auto"/>
              <w:ind w:right="60" w:firstLine="0"/>
              <w:jc w:val="center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0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F164EC" w:rsidRPr="00647EAA" w:rsidRDefault="00810AD3" w:rsidP="00184AF1">
            <w:pPr>
              <w:spacing w:after="0" w:line="240" w:lineRule="auto"/>
              <w:ind w:right="279" w:firstLine="0"/>
              <w:rPr>
                <w:sz w:val="24"/>
                <w:szCs w:val="24"/>
                <w:lang w:val="uk-UA"/>
              </w:rPr>
            </w:pPr>
            <w:r w:rsidRPr="00647EAA">
              <w:rPr>
                <w:sz w:val="24"/>
                <w:szCs w:val="24"/>
                <w:lang w:val="uk-UA"/>
              </w:rPr>
              <w:t xml:space="preserve">Є ефективним з огляду на </w:t>
            </w:r>
            <w:r>
              <w:rPr>
                <w:sz w:val="24"/>
                <w:szCs w:val="24"/>
                <w:lang w:val="uk-UA"/>
              </w:rPr>
              <w:t xml:space="preserve">дотримання норм законопроектної бази </w:t>
            </w:r>
            <w:r w:rsidRPr="00647EAA">
              <w:rPr>
                <w:sz w:val="24"/>
                <w:szCs w:val="24"/>
                <w:lang w:val="uk-UA"/>
              </w:rPr>
              <w:t xml:space="preserve">та забезпечить досягненню цілей державного регулювання у сфері оренди комунального майна. </w:t>
            </w:r>
          </w:p>
        </w:tc>
      </w:tr>
    </w:tbl>
    <w:p w:rsidR="00F164EC" w:rsidRPr="00184AF1" w:rsidRDefault="00F164EC" w:rsidP="00184AF1">
      <w:pPr>
        <w:spacing w:after="0" w:line="240" w:lineRule="auto"/>
        <w:ind w:left="60" w:firstLine="0"/>
        <w:rPr>
          <w:b/>
          <w:bCs/>
          <w:sz w:val="28"/>
          <w:szCs w:val="28"/>
          <w:lang w:val="uk-UA"/>
        </w:rPr>
      </w:pPr>
    </w:p>
    <w:p w:rsidR="00F164EC" w:rsidRDefault="00F164EC" w:rsidP="00184AF1">
      <w:pPr>
        <w:spacing w:after="0" w:line="240" w:lineRule="auto"/>
        <w:ind w:left="60" w:firstLine="0"/>
        <w:jc w:val="center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>V. Механізми та заходи, які забезпечать розв'язання визначеної проблеми</w:t>
      </w:r>
    </w:p>
    <w:p w:rsidR="00CC5D10" w:rsidRPr="006521DD" w:rsidRDefault="00CC5D10" w:rsidP="00184AF1">
      <w:pPr>
        <w:spacing w:after="0" w:line="240" w:lineRule="auto"/>
        <w:ind w:left="60" w:firstLine="0"/>
        <w:jc w:val="center"/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Зазначеним </w:t>
      </w:r>
      <w:r w:rsidR="00AA23B1">
        <w:rPr>
          <w:sz w:val="28"/>
          <w:szCs w:val="28"/>
          <w:lang w:val="uk-UA"/>
        </w:rPr>
        <w:t xml:space="preserve">внесенням змін до </w:t>
      </w:r>
      <w:r w:rsidRPr="00184AF1">
        <w:rPr>
          <w:sz w:val="28"/>
          <w:szCs w:val="28"/>
          <w:lang w:val="uk-UA"/>
        </w:rPr>
        <w:t>Положення</w:t>
      </w:r>
      <w:r w:rsidR="00CC5D10">
        <w:rPr>
          <w:sz w:val="28"/>
          <w:szCs w:val="28"/>
          <w:lang w:val="uk-UA"/>
        </w:rPr>
        <w:t xml:space="preserve"> </w:t>
      </w:r>
      <w:r w:rsidRPr="00184AF1">
        <w:rPr>
          <w:sz w:val="28"/>
          <w:szCs w:val="28"/>
          <w:lang w:val="uk-UA"/>
        </w:rPr>
        <w:t xml:space="preserve">передбачається </w:t>
      </w:r>
      <w:r w:rsidR="00CC5D10">
        <w:rPr>
          <w:sz w:val="28"/>
          <w:szCs w:val="28"/>
          <w:lang w:val="uk-UA"/>
        </w:rPr>
        <w:t xml:space="preserve">підвищення ставки орендної плати за розміщення аптек підприємств комунальної власності міста, буде врегульовано процедуру передачі рухомого майна бюджетним організаціям, установам та </w:t>
      </w:r>
      <w:r w:rsidR="00696623">
        <w:rPr>
          <w:sz w:val="28"/>
          <w:szCs w:val="28"/>
          <w:lang w:val="uk-UA"/>
        </w:rPr>
        <w:t xml:space="preserve">приведено у відповідність до Цивільного кодексу України норми Положення про </w:t>
      </w:r>
      <w:r w:rsidR="00F86926">
        <w:rPr>
          <w:sz w:val="28"/>
          <w:szCs w:val="28"/>
          <w:lang w:val="uk-UA"/>
        </w:rPr>
        <w:t>дату укладання нотаріально посвідчених договорів</w:t>
      </w:r>
      <w:r w:rsidRPr="00184AF1">
        <w:rPr>
          <w:sz w:val="28"/>
          <w:szCs w:val="28"/>
          <w:lang w:val="uk-UA"/>
        </w:rPr>
        <w:t>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У результаті прийняття запропонованого </w:t>
      </w:r>
      <w:proofErr w:type="spellStart"/>
      <w:r w:rsidRPr="00184AF1">
        <w:rPr>
          <w:sz w:val="28"/>
          <w:szCs w:val="28"/>
          <w:lang w:val="uk-UA"/>
        </w:rPr>
        <w:t>акта</w:t>
      </w:r>
      <w:proofErr w:type="spellEnd"/>
      <w:r w:rsidRPr="00184AF1">
        <w:rPr>
          <w:sz w:val="28"/>
          <w:szCs w:val="28"/>
          <w:lang w:val="uk-UA"/>
        </w:rPr>
        <w:t xml:space="preserve"> не потрібно здійснювати жодних заходів для його впровадження.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</w:p>
    <w:p w:rsidR="00F164EC" w:rsidRDefault="00F164EC" w:rsidP="00184AF1">
      <w:pPr>
        <w:spacing w:after="0" w:line="240" w:lineRule="auto"/>
        <w:ind w:left="226" w:right="265" w:firstLine="60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VI. Оцінка виконання вимог регуляторного </w:t>
      </w:r>
      <w:proofErr w:type="spellStart"/>
      <w:r w:rsidRPr="00184AF1">
        <w:rPr>
          <w:b/>
          <w:bCs/>
          <w:sz w:val="28"/>
          <w:szCs w:val="28"/>
          <w:lang w:val="uk-UA"/>
        </w:rPr>
        <w:t>акта</w:t>
      </w:r>
      <w:proofErr w:type="spellEnd"/>
      <w:r w:rsidRPr="00184AF1">
        <w:rPr>
          <w:b/>
          <w:bCs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 </w:t>
      </w:r>
    </w:p>
    <w:p w:rsidR="006521DD" w:rsidRPr="006521DD" w:rsidRDefault="006521DD" w:rsidP="00184AF1">
      <w:pPr>
        <w:spacing w:after="0" w:line="240" w:lineRule="auto"/>
        <w:ind w:left="226" w:right="265" w:firstLine="60"/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firstLine="720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У зв’язку з тим, що питома вага суб’єктів малого підприємництва у загальній кількості суб’єктів господарювання, на яких пошир</w:t>
      </w:r>
      <w:r>
        <w:rPr>
          <w:sz w:val="28"/>
          <w:szCs w:val="28"/>
          <w:lang w:val="uk-UA"/>
        </w:rPr>
        <w:t xml:space="preserve">юється </w:t>
      </w:r>
      <w:r w:rsidRPr="00184AF1">
        <w:rPr>
          <w:sz w:val="28"/>
          <w:szCs w:val="28"/>
          <w:lang w:val="uk-UA"/>
        </w:rPr>
        <w:t>регул</w:t>
      </w:r>
      <w:r>
        <w:rPr>
          <w:sz w:val="28"/>
          <w:szCs w:val="28"/>
          <w:lang w:val="uk-UA"/>
        </w:rPr>
        <w:t>ювання</w:t>
      </w:r>
      <w:r w:rsidRPr="00184AF1">
        <w:rPr>
          <w:sz w:val="28"/>
          <w:szCs w:val="28"/>
          <w:lang w:val="uk-UA"/>
        </w:rPr>
        <w:t xml:space="preserve">, становить </w:t>
      </w:r>
      <w:r w:rsidR="00413599">
        <w:rPr>
          <w:sz w:val="28"/>
          <w:szCs w:val="28"/>
          <w:lang w:val="uk-UA"/>
        </w:rPr>
        <w:t>100</w:t>
      </w:r>
      <w:r w:rsidRPr="00184AF1">
        <w:rPr>
          <w:sz w:val="28"/>
          <w:szCs w:val="28"/>
          <w:lang w:val="uk-UA"/>
        </w:rPr>
        <w:t>%, розрахунок витрат на запровадження державного регулювання здійснено згідно з М- Тестом, викладеному у додатку до цього Аналізу регуляторного впливу.</w:t>
      </w:r>
    </w:p>
    <w:p w:rsidR="00DB7950" w:rsidRDefault="00DB7950" w:rsidP="00184AF1">
      <w:pPr>
        <w:pStyle w:val="1"/>
        <w:spacing w:after="0" w:line="240" w:lineRule="auto"/>
        <w:ind w:left="257" w:right="293"/>
        <w:rPr>
          <w:sz w:val="28"/>
          <w:szCs w:val="28"/>
          <w:lang w:val="uk-UA"/>
        </w:rPr>
      </w:pPr>
    </w:p>
    <w:p w:rsidR="00F164EC" w:rsidRDefault="00F164EC" w:rsidP="00184AF1">
      <w:pPr>
        <w:pStyle w:val="1"/>
        <w:spacing w:after="0" w:line="240" w:lineRule="auto"/>
        <w:ind w:left="257" w:right="293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184AF1">
        <w:rPr>
          <w:sz w:val="28"/>
          <w:szCs w:val="28"/>
          <w:lang w:val="uk-UA"/>
        </w:rPr>
        <w:t>акта</w:t>
      </w:r>
      <w:proofErr w:type="spellEnd"/>
      <w:r w:rsidRPr="00184AF1">
        <w:rPr>
          <w:sz w:val="28"/>
          <w:szCs w:val="28"/>
          <w:lang w:val="uk-UA"/>
        </w:rPr>
        <w:t xml:space="preserve"> </w:t>
      </w:r>
    </w:p>
    <w:p w:rsidR="006521DD" w:rsidRPr="006521DD" w:rsidRDefault="006521DD" w:rsidP="006521DD">
      <w:pPr>
        <w:rPr>
          <w:sz w:val="16"/>
          <w:szCs w:val="16"/>
          <w:lang w:val="uk-UA"/>
        </w:rPr>
      </w:pPr>
      <w:bookmarkStart w:id="0" w:name="_GoBack"/>
      <w:bookmarkEnd w:id="0"/>
    </w:p>
    <w:p w:rsidR="00F164EC" w:rsidRPr="00184AF1" w:rsidRDefault="00F164EC" w:rsidP="00184AF1">
      <w:pPr>
        <w:spacing w:after="0" w:line="240" w:lineRule="auto"/>
        <w:ind w:firstLine="706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Запропонований проект </w:t>
      </w:r>
      <w:r w:rsidR="00413599">
        <w:rPr>
          <w:sz w:val="28"/>
          <w:szCs w:val="28"/>
          <w:lang w:val="uk-UA"/>
        </w:rPr>
        <w:t xml:space="preserve">внесення змін до </w:t>
      </w:r>
      <w:r w:rsidRPr="00184AF1">
        <w:rPr>
          <w:sz w:val="28"/>
          <w:szCs w:val="28"/>
          <w:lang w:val="uk-UA"/>
        </w:rPr>
        <w:t xml:space="preserve">Положення буде діяти до прийняття змін до нього, до прийняття змін у нормативно-правові акти, що мають вищу юридичну силу, які стосуються зазначеної сфери регулювання або його скасування. </w:t>
      </w:r>
    </w:p>
    <w:p w:rsidR="00F164EC" w:rsidRDefault="00F164EC" w:rsidP="00184AF1">
      <w:pPr>
        <w:pStyle w:val="1"/>
        <w:spacing w:after="0" w:line="240" w:lineRule="auto"/>
        <w:ind w:left="257" w:right="292"/>
        <w:rPr>
          <w:sz w:val="28"/>
          <w:szCs w:val="28"/>
          <w:lang w:val="uk-UA"/>
        </w:rPr>
      </w:pPr>
    </w:p>
    <w:p w:rsidR="00F164EC" w:rsidRDefault="00F164EC" w:rsidP="00184AF1">
      <w:pPr>
        <w:pStyle w:val="1"/>
        <w:spacing w:after="0" w:line="240" w:lineRule="auto"/>
        <w:ind w:left="257" w:right="292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VIII. Визначення показників результативності дії регуляторного </w:t>
      </w:r>
      <w:proofErr w:type="spellStart"/>
      <w:r w:rsidRPr="00184AF1">
        <w:rPr>
          <w:sz w:val="28"/>
          <w:szCs w:val="28"/>
          <w:lang w:val="uk-UA"/>
        </w:rPr>
        <w:t>акта</w:t>
      </w:r>
      <w:proofErr w:type="spellEnd"/>
      <w:r w:rsidRPr="00184AF1">
        <w:rPr>
          <w:sz w:val="28"/>
          <w:szCs w:val="28"/>
          <w:lang w:val="uk-UA"/>
        </w:rPr>
        <w:t xml:space="preserve"> </w:t>
      </w:r>
    </w:p>
    <w:p w:rsidR="006521DD" w:rsidRPr="006521DD" w:rsidRDefault="006521DD" w:rsidP="006521DD">
      <w:pPr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left="706" w:right="15" w:firstLine="0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Показниками результативності запропонованого </w:t>
      </w:r>
      <w:proofErr w:type="spellStart"/>
      <w:r w:rsidRPr="00184AF1">
        <w:rPr>
          <w:sz w:val="28"/>
          <w:szCs w:val="28"/>
          <w:lang w:val="uk-UA"/>
        </w:rPr>
        <w:t>акта</w:t>
      </w:r>
      <w:proofErr w:type="spellEnd"/>
      <w:r w:rsidRPr="00184AF1">
        <w:rPr>
          <w:sz w:val="28"/>
          <w:szCs w:val="28"/>
          <w:lang w:val="uk-UA"/>
        </w:rPr>
        <w:t xml:space="preserve"> будуть: </w:t>
      </w:r>
    </w:p>
    <w:p w:rsidR="00F164EC" w:rsidRPr="00647EAA" w:rsidRDefault="00413599" w:rsidP="00184AF1">
      <w:pPr>
        <w:numPr>
          <w:ilvl w:val="0"/>
          <w:numId w:val="4"/>
        </w:numPr>
        <w:spacing w:after="0" w:line="240" w:lineRule="auto"/>
        <w:ind w:right="15" w:firstLine="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перегляд договорів оренди, які укладено з підприємствами комунальної власності міста для розміщення аптек;</w:t>
      </w:r>
      <w:r w:rsidR="00F164EC" w:rsidRPr="00647EAA">
        <w:rPr>
          <w:sz w:val="28"/>
          <w:szCs w:val="28"/>
          <w:lang w:val="uk-UA"/>
        </w:rPr>
        <w:t xml:space="preserve"> </w:t>
      </w:r>
    </w:p>
    <w:p w:rsidR="00F164EC" w:rsidRPr="00647EAA" w:rsidRDefault="00F164EC" w:rsidP="00184AF1">
      <w:pPr>
        <w:numPr>
          <w:ilvl w:val="0"/>
          <w:numId w:val="4"/>
        </w:numPr>
        <w:spacing w:after="0" w:line="240" w:lineRule="auto"/>
        <w:ind w:right="15" w:firstLine="0"/>
        <w:rPr>
          <w:sz w:val="28"/>
          <w:szCs w:val="28"/>
          <w:lang w:val="uk-UA"/>
        </w:rPr>
      </w:pPr>
      <w:r w:rsidRPr="00647EAA">
        <w:rPr>
          <w:sz w:val="28"/>
          <w:szCs w:val="28"/>
          <w:lang w:val="uk-UA"/>
        </w:rPr>
        <w:t>грошові кошти, отримані від оренди об’єктів комунальної власності та перераховані до бюджету міста Харкова.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Зміни, що пропонуються, поширюватимуться на орендарів всіх організаційно-правових форм. 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</w:p>
    <w:p w:rsidR="00F164EC" w:rsidRDefault="00F164EC" w:rsidP="00184AF1">
      <w:pPr>
        <w:spacing w:after="0" w:line="240" w:lineRule="auto"/>
        <w:ind w:left="1407" w:hanging="626"/>
        <w:rPr>
          <w:b/>
          <w:bCs/>
          <w:sz w:val="28"/>
          <w:szCs w:val="28"/>
          <w:lang w:val="uk-UA"/>
        </w:rPr>
      </w:pPr>
      <w:r w:rsidRPr="00184AF1">
        <w:rPr>
          <w:b/>
          <w:bCs/>
          <w:sz w:val="28"/>
          <w:szCs w:val="28"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184AF1">
        <w:rPr>
          <w:b/>
          <w:bCs/>
          <w:sz w:val="28"/>
          <w:szCs w:val="28"/>
          <w:lang w:val="uk-UA"/>
        </w:rPr>
        <w:t>акта</w:t>
      </w:r>
      <w:proofErr w:type="spellEnd"/>
      <w:r w:rsidRPr="00184AF1">
        <w:rPr>
          <w:b/>
          <w:bCs/>
          <w:sz w:val="28"/>
          <w:szCs w:val="28"/>
          <w:lang w:val="uk-UA"/>
        </w:rPr>
        <w:t xml:space="preserve"> </w:t>
      </w:r>
    </w:p>
    <w:p w:rsidR="006521DD" w:rsidRPr="006521DD" w:rsidRDefault="006521DD" w:rsidP="00184AF1">
      <w:pPr>
        <w:spacing w:after="0" w:line="240" w:lineRule="auto"/>
        <w:ind w:left="1407" w:hanging="626"/>
        <w:rPr>
          <w:sz w:val="16"/>
          <w:szCs w:val="16"/>
          <w:lang w:val="uk-UA"/>
        </w:rPr>
      </w:pP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184AF1">
        <w:rPr>
          <w:sz w:val="28"/>
          <w:szCs w:val="28"/>
          <w:lang w:val="uk-UA"/>
        </w:rPr>
        <w:t>акта</w:t>
      </w:r>
      <w:proofErr w:type="spellEnd"/>
      <w:r w:rsidRPr="00184AF1">
        <w:rPr>
          <w:sz w:val="28"/>
          <w:szCs w:val="28"/>
          <w:lang w:val="uk-UA"/>
        </w:rPr>
        <w:t xml:space="preserve"> буде здійснено шляхом моніторингу кількості укладених </w:t>
      </w:r>
      <w:r w:rsidR="00413599">
        <w:rPr>
          <w:sz w:val="28"/>
          <w:szCs w:val="28"/>
          <w:lang w:val="uk-UA"/>
        </w:rPr>
        <w:t xml:space="preserve">додаткових угод до </w:t>
      </w:r>
      <w:r w:rsidRPr="00184AF1">
        <w:rPr>
          <w:sz w:val="28"/>
          <w:szCs w:val="28"/>
          <w:lang w:val="uk-UA"/>
        </w:rPr>
        <w:t xml:space="preserve">договорів оренди комунального майна та розміру надходжень  </w:t>
      </w:r>
      <w:r w:rsidR="00A647D0">
        <w:rPr>
          <w:sz w:val="28"/>
          <w:szCs w:val="28"/>
          <w:lang w:val="uk-UA"/>
        </w:rPr>
        <w:t>від оренди до місцевого бюджету</w:t>
      </w:r>
      <w:r w:rsidR="006521DD">
        <w:rPr>
          <w:sz w:val="28"/>
          <w:szCs w:val="28"/>
          <w:lang w:val="uk-UA"/>
        </w:rPr>
        <w:t xml:space="preserve"> надані Управлінням комунального майна та приватизації Департаменту економіки та комунального майна Харківської міської ради.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Базове відстеження результативності регуляторного акту буде здійснено </w:t>
      </w:r>
      <w:r w:rsidR="00A647D0" w:rsidRPr="006521DD">
        <w:rPr>
          <w:color w:val="000000" w:themeColor="text1"/>
          <w:sz w:val="28"/>
          <w:szCs w:val="28"/>
          <w:lang w:val="uk-UA"/>
        </w:rPr>
        <w:t>протягом року</w:t>
      </w:r>
      <w:r w:rsidRPr="00184AF1">
        <w:rPr>
          <w:sz w:val="28"/>
          <w:szCs w:val="28"/>
          <w:lang w:val="uk-UA"/>
        </w:rPr>
        <w:t xml:space="preserve"> після набрання чинності цим актом шляхом обробки результатів статистичних даних. 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Повторне відстеження планується здійснити через рік після проведення базового. </w:t>
      </w:r>
    </w:p>
    <w:p w:rsidR="00A647D0" w:rsidRPr="006521DD" w:rsidRDefault="00A647D0" w:rsidP="00A647D0">
      <w:pPr>
        <w:spacing w:after="0" w:line="240" w:lineRule="auto"/>
        <w:ind w:left="-15" w:right="15"/>
        <w:rPr>
          <w:color w:val="000000" w:themeColor="text1"/>
          <w:sz w:val="28"/>
          <w:szCs w:val="28"/>
          <w:lang w:val="uk-UA"/>
        </w:rPr>
      </w:pPr>
      <w:r w:rsidRPr="006521DD">
        <w:rPr>
          <w:color w:val="000000" w:themeColor="text1"/>
          <w:sz w:val="28"/>
          <w:szCs w:val="28"/>
          <w:lang w:val="uk-UA"/>
        </w:rPr>
        <w:t xml:space="preserve">Повторне відстеження результативності буде </w:t>
      </w:r>
      <w:proofErr w:type="spellStart"/>
      <w:r w:rsidRPr="006521DD">
        <w:rPr>
          <w:color w:val="000000" w:themeColor="text1"/>
          <w:sz w:val="28"/>
          <w:szCs w:val="28"/>
          <w:lang w:val="uk-UA"/>
        </w:rPr>
        <w:t>здійснюватись</w:t>
      </w:r>
      <w:proofErr w:type="spellEnd"/>
      <w:r w:rsidRPr="006521DD">
        <w:rPr>
          <w:color w:val="000000" w:themeColor="text1"/>
          <w:sz w:val="28"/>
          <w:szCs w:val="28"/>
          <w:lang w:val="uk-UA"/>
        </w:rPr>
        <w:t xml:space="preserve"> через рік але не пізніше ніж через два роки  після набрання ним чинності шляхом порівняння показників базового та повторного відстеження, періодичне –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6521DD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6521DD">
        <w:rPr>
          <w:color w:val="000000" w:themeColor="text1"/>
          <w:sz w:val="28"/>
          <w:szCs w:val="28"/>
          <w:lang w:val="uk-UA"/>
        </w:rPr>
        <w:t>.</w:t>
      </w:r>
    </w:p>
    <w:p w:rsidR="00A647D0" w:rsidRPr="006521DD" w:rsidRDefault="00A647D0" w:rsidP="00A647D0">
      <w:pPr>
        <w:spacing w:after="0" w:line="240" w:lineRule="auto"/>
        <w:ind w:left="-15" w:right="15"/>
        <w:rPr>
          <w:color w:val="000000" w:themeColor="text1"/>
          <w:sz w:val="28"/>
          <w:szCs w:val="28"/>
          <w:lang w:val="uk-UA"/>
        </w:rPr>
      </w:pPr>
      <w:r w:rsidRPr="006521DD">
        <w:rPr>
          <w:color w:val="000000" w:themeColor="text1"/>
          <w:sz w:val="28"/>
          <w:szCs w:val="28"/>
          <w:lang w:val="uk-UA"/>
        </w:rPr>
        <w:t>Метод проведення відстеження результативності – статистичний.</w:t>
      </w:r>
    </w:p>
    <w:p w:rsidR="00A647D0" w:rsidRPr="006521DD" w:rsidRDefault="00A647D0" w:rsidP="00A647D0">
      <w:pPr>
        <w:spacing w:after="0" w:line="240" w:lineRule="auto"/>
        <w:ind w:left="-15" w:right="15"/>
        <w:rPr>
          <w:color w:val="000000" w:themeColor="text1"/>
          <w:sz w:val="28"/>
          <w:szCs w:val="28"/>
          <w:lang w:val="uk-UA"/>
        </w:rPr>
      </w:pPr>
      <w:r w:rsidRPr="006521DD">
        <w:rPr>
          <w:color w:val="000000" w:themeColor="text1"/>
          <w:sz w:val="28"/>
          <w:szCs w:val="28"/>
          <w:lang w:val="uk-UA"/>
        </w:rPr>
        <w:t>Вид даних – статистичні дані.</w:t>
      </w:r>
    </w:p>
    <w:p w:rsidR="00F164EC" w:rsidRPr="00184AF1" w:rsidRDefault="00F164EC" w:rsidP="00184AF1">
      <w:pPr>
        <w:spacing w:after="0" w:line="240" w:lineRule="auto"/>
        <w:ind w:left="-15" w:right="15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 </w:t>
      </w:r>
    </w:p>
    <w:p w:rsidR="00F164EC" w:rsidRPr="00184AF1" w:rsidRDefault="00F164EC" w:rsidP="00184AF1">
      <w:pPr>
        <w:spacing w:after="0" w:line="240" w:lineRule="auto"/>
        <w:ind w:left="706" w:firstLine="0"/>
        <w:jc w:val="left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 </w:t>
      </w:r>
    </w:p>
    <w:p w:rsidR="00F164EC" w:rsidRPr="00184AF1" w:rsidRDefault="00F164EC" w:rsidP="00184AF1">
      <w:pPr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Заступник директора Департаменту </w:t>
      </w:r>
    </w:p>
    <w:p w:rsidR="00F164EC" w:rsidRPr="00184AF1" w:rsidRDefault="00F164EC" w:rsidP="00184AF1">
      <w:pPr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 xml:space="preserve">економіки та комунального майна – </w:t>
      </w:r>
    </w:p>
    <w:p w:rsidR="00F164EC" w:rsidRPr="00184AF1" w:rsidRDefault="00F164EC" w:rsidP="00184AF1">
      <w:pPr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начальник управління комунального</w:t>
      </w:r>
    </w:p>
    <w:p w:rsidR="00F164EC" w:rsidRPr="00184AF1" w:rsidRDefault="00F164EC" w:rsidP="00184AF1">
      <w:pPr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 w:rsidRPr="00184AF1">
        <w:rPr>
          <w:sz w:val="28"/>
          <w:szCs w:val="28"/>
          <w:lang w:val="uk-UA"/>
        </w:rPr>
        <w:t>майна та приватизації</w:t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84AF1">
        <w:rPr>
          <w:sz w:val="28"/>
          <w:szCs w:val="28"/>
          <w:lang w:val="uk-UA"/>
        </w:rPr>
        <w:t xml:space="preserve">В.М. </w:t>
      </w:r>
      <w:proofErr w:type="spellStart"/>
      <w:r w:rsidRPr="00184AF1">
        <w:rPr>
          <w:sz w:val="28"/>
          <w:szCs w:val="28"/>
          <w:lang w:val="uk-UA"/>
        </w:rPr>
        <w:t>Солошкін</w:t>
      </w:r>
      <w:proofErr w:type="spellEnd"/>
    </w:p>
    <w:p w:rsidR="00F164EC" w:rsidRPr="00184AF1" w:rsidRDefault="00F164EC" w:rsidP="00184AF1">
      <w:pPr>
        <w:spacing w:after="0" w:line="240" w:lineRule="auto"/>
        <w:ind w:left="36" w:firstLine="0"/>
        <w:rPr>
          <w:sz w:val="28"/>
          <w:szCs w:val="28"/>
          <w:lang w:val="uk-UA"/>
        </w:rPr>
      </w:pPr>
    </w:p>
    <w:sectPr w:rsidR="00F164EC" w:rsidRPr="00184AF1" w:rsidSect="00196B83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19" w:rsidRDefault="00717919">
      <w:r>
        <w:separator/>
      </w:r>
    </w:p>
  </w:endnote>
  <w:endnote w:type="continuationSeparator" w:id="0">
    <w:p w:rsidR="00717919" w:rsidRDefault="007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4EC" w:rsidRDefault="00F164EC" w:rsidP="006A0BD8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47D0">
      <w:rPr>
        <w:rStyle w:val="a9"/>
        <w:noProof/>
      </w:rPr>
      <w:t>8</w:t>
    </w:r>
    <w:r>
      <w:rPr>
        <w:rStyle w:val="a9"/>
      </w:rPr>
      <w:fldChar w:fldCharType="end"/>
    </w:r>
  </w:p>
  <w:p w:rsidR="00F164EC" w:rsidRDefault="00F164EC" w:rsidP="00196B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19" w:rsidRDefault="00717919">
      <w:r>
        <w:separator/>
      </w:r>
    </w:p>
  </w:footnote>
  <w:footnote w:type="continuationSeparator" w:id="0">
    <w:p w:rsidR="00717919" w:rsidRDefault="0071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A79"/>
    <w:multiLevelType w:val="hybridMultilevel"/>
    <w:tmpl w:val="4FF49F60"/>
    <w:lvl w:ilvl="0" w:tplc="C16A7A92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1" w:tplc="CCF0B352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2" w:tplc="C9205676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3" w:tplc="75E2EAB0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4" w:tplc="1A92AC7A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5" w:tplc="781C687E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6" w:tplc="45F64DCE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7" w:tplc="45B81C70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8" w:tplc="6EB8EFEE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</w:abstractNum>
  <w:abstractNum w:abstractNumId="1" w15:restartNumberingAfterBreak="0">
    <w:nsid w:val="043A650A"/>
    <w:multiLevelType w:val="hybridMultilevel"/>
    <w:tmpl w:val="F07C593A"/>
    <w:lvl w:ilvl="0" w:tplc="715411C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1" w:tplc="700A948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2" w:tplc="BE86B46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3" w:tplc="D834CAE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4" w:tplc="FEAC915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5" w:tplc="98940D1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6" w:tplc="BD1C58A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7" w:tplc="67D6DC6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8" w:tplc="9B08321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</w:abstractNum>
  <w:abstractNum w:abstractNumId="2" w15:restartNumberingAfterBreak="0">
    <w:nsid w:val="0B002647"/>
    <w:multiLevelType w:val="hybridMultilevel"/>
    <w:tmpl w:val="6116F04A"/>
    <w:lvl w:ilvl="0" w:tplc="DDA24066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07ACD104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1E2CD3AE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3" w:tplc="5728091C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 w:tplc="EBFCB322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 w:tplc="B656771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 w:tplc="2C2E6B58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 w:tplc="8DD23A64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 w:tplc="800E3C4C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3" w15:restartNumberingAfterBreak="0">
    <w:nsid w:val="0BAF7825"/>
    <w:multiLevelType w:val="hybridMultilevel"/>
    <w:tmpl w:val="CA188136"/>
    <w:lvl w:ilvl="0" w:tplc="92C28E7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1" w:tplc="B930F94A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2" w:tplc="146E089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3" w:tplc="C33ECF4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4" w:tplc="2D5CB0D6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5" w:tplc="8E58705C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6" w:tplc="F4B0C93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7" w:tplc="87EAA3F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  <w:lvl w:ilvl="8" w:tplc="F498330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effect w:val="none"/>
        <w:vertAlign w:val="baseline"/>
      </w:rPr>
    </w:lvl>
  </w:abstractNum>
  <w:abstractNum w:abstractNumId="4" w15:restartNumberingAfterBreak="0">
    <w:nsid w:val="0D8E3BEC"/>
    <w:multiLevelType w:val="hybridMultilevel"/>
    <w:tmpl w:val="22B8705C"/>
    <w:lvl w:ilvl="0" w:tplc="D0E43D32">
      <w:start w:val="2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A5744E"/>
    <w:multiLevelType w:val="hybridMultilevel"/>
    <w:tmpl w:val="4CB4F22A"/>
    <w:lvl w:ilvl="0" w:tplc="5B94BE40">
      <w:start w:val="20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9A"/>
    <w:rsid w:val="00013E5A"/>
    <w:rsid w:val="000154CE"/>
    <w:rsid w:val="00021B76"/>
    <w:rsid w:val="00043E6A"/>
    <w:rsid w:val="00083BC5"/>
    <w:rsid w:val="00091895"/>
    <w:rsid w:val="000935CB"/>
    <w:rsid w:val="000A4B13"/>
    <w:rsid w:val="000B4E89"/>
    <w:rsid w:val="000D3B7B"/>
    <w:rsid w:val="0014226B"/>
    <w:rsid w:val="00150F21"/>
    <w:rsid w:val="00184AF1"/>
    <w:rsid w:val="00196B83"/>
    <w:rsid w:val="001B073B"/>
    <w:rsid w:val="001C02A8"/>
    <w:rsid w:val="00205756"/>
    <w:rsid w:val="002151F2"/>
    <w:rsid w:val="00241490"/>
    <w:rsid w:val="00295117"/>
    <w:rsid w:val="002A144D"/>
    <w:rsid w:val="002C159E"/>
    <w:rsid w:val="002C779B"/>
    <w:rsid w:val="002D3C1E"/>
    <w:rsid w:val="002E0124"/>
    <w:rsid w:val="002E452F"/>
    <w:rsid w:val="002E7EAB"/>
    <w:rsid w:val="002F1441"/>
    <w:rsid w:val="002F4238"/>
    <w:rsid w:val="00306BBC"/>
    <w:rsid w:val="00317CC5"/>
    <w:rsid w:val="00325252"/>
    <w:rsid w:val="00331A0F"/>
    <w:rsid w:val="00334B8B"/>
    <w:rsid w:val="00354167"/>
    <w:rsid w:val="00355F63"/>
    <w:rsid w:val="00360FD8"/>
    <w:rsid w:val="00373C3A"/>
    <w:rsid w:val="00381056"/>
    <w:rsid w:val="003C1B7F"/>
    <w:rsid w:val="003D06D0"/>
    <w:rsid w:val="003E5058"/>
    <w:rsid w:val="00413599"/>
    <w:rsid w:val="004169B9"/>
    <w:rsid w:val="00430594"/>
    <w:rsid w:val="00445EA6"/>
    <w:rsid w:val="00461E9C"/>
    <w:rsid w:val="004934D8"/>
    <w:rsid w:val="004948B3"/>
    <w:rsid w:val="004A6EFA"/>
    <w:rsid w:val="004E3D09"/>
    <w:rsid w:val="004E5946"/>
    <w:rsid w:val="004F799A"/>
    <w:rsid w:val="00514928"/>
    <w:rsid w:val="00561F64"/>
    <w:rsid w:val="005A226A"/>
    <w:rsid w:val="005D5FCA"/>
    <w:rsid w:val="005F62EC"/>
    <w:rsid w:val="0060059A"/>
    <w:rsid w:val="0060230E"/>
    <w:rsid w:val="00642065"/>
    <w:rsid w:val="00647EAA"/>
    <w:rsid w:val="006521DD"/>
    <w:rsid w:val="00653346"/>
    <w:rsid w:val="00664447"/>
    <w:rsid w:val="006725FE"/>
    <w:rsid w:val="006775BA"/>
    <w:rsid w:val="00696623"/>
    <w:rsid w:val="00696821"/>
    <w:rsid w:val="006A0AA1"/>
    <w:rsid w:val="006A0BD8"/>
    <w:rsid w:val="006A24C5"/>
    <w:rsid w:val="006C3A09"/>
    <w:rsid w:val="006D465D"/>
    <w:rsid w:val="006D773A"/>
    <w:rsid w:val="006E4892"/>
    <w:rsid w:val="006F6192"/>
    <w:rsid w:val="00717919"/>
    <w:rsid w:val="00732B49"/>
    <w:rsid w:val="00764ECA"/>
    <w:rsid w:val="007669CE"/>
    <w:rsid w:val="00771DF3"/>
    <w:rsid w:val="00774E5F"/>
    <w:rsid w:val="007816F5"/>
    <w:rsid w:val="00803BAF"/>
    <w:rsid w:val="008050B9"/>
    <w:rsid w:val="00810AD3"/>
    <w:rsid w:val="00832A61"/>
    <w:rsid w:val="00837957"/>
    <w:rsid w:val="008409B0"/>
    <w:rsid w:val="00840BCC"/>
    <w:rsid w:val="00851401"/>
    <w:rsid w:val="00852AF7"/>
    <w:rsid w:val="008C0F57"/>
    <w:rsid w:val="008C1D91"/>
    <w:rsid w:val="008D3EC9"/>
    <w:rsid w:val="009368A0"/>
    <w:rsid w:val="00936F06"/>
    <w:rsid w:val="00937FDA"/>
    <w:rsid w:val="009549BC"/>
    <w:rsid w:val="00960E77"/>
    <w:rsid w:val="009734EA"/>
    <w:rsid w:val="0099146C"/>
    <w:rsid w:val="009B5BDB"/>
    <w:rsid w:val="009D4362"/>
    <w:rsid w:val="00A11E64"/>
    <w:rsid w:val="00A22C34"/>
    <w:rsid w:val="00A52C09"/>
    <w:rsid w:val="00A647D0"/>
    <w:rsid w:val="00A67952"/>
    <w:rsid w:val="00A8684A"/>
    <w:rsid w:val="00AA23B1"/>
    <w:rsid w:val="00AA3F2C"/>
    <w:rsid w:val="00AA4923"/>
    <w:rsid w:val="00AA6E2D"/>
    <w:rsid w:val="00AB3544"/>
    <w:rsid w:val="00AC5A07"/>
    <w:rsid w:val="00B17725"/>
    <w:rsid w:val="00B72498"/>
    <w:rsid w:val="00BB0410"/>
    <w:rsid w:val="00BE6987"/>
    <w:rsid w:val="00BE7E18"/>
    <w:rsid w:val="00BF3C99"/>
    <w:rsid w:val="00BF6D81"/>
    <w:rsid w:val="00C04131"/>
    <w:rsid w:val="00C114D4"/>
    <w:rsid w:val="00C369ED"/>
    <w:rsid w:val="00C67176"/>
    <w:rsid w:val="00CC5D10"/>
    <w:rsid w:val="00CF1F9C"/>
    <w:rsid w:val="00CF5A58"/>
    <w:rsid w:val="00D079D7"/>
    <w:rsid w:val="00D24067"/>
    <w:rsid w:val="00D335B5"/>
    <w:rsid w:val="00D4133A"/>
    <w:rsid w:val="00D51321"/>
    <w:rsid w:val="00D61993"/>
    <w:rsid w:val="00D92236"/>
    <w:rsid w:val="00DB7950"/>
    <w:rsid w:val="00DD2142"/>
    <w:rsid w:val="00DF3072"/>
    <w:rsid w:val="00E27074"/>
    <w:rsid w:val="00E53EB1"/>
    <w:rsid w:val="00E674BA"/>
    <w:rsid w:val="00E67955"/>
    <w:rsid w:val="00E77BF5"/>
    <w:rsid w:val="00EB4492"/>
    <w:rsid w:val="00EB5572"/>
    <w:rsid w:val="00EB77FD"/>
    <w:rsid w:val="00EC4186"/>
    <w:rsid w:val="00EC5102"/>
    <w:rsid w:val="00EC657C"/>
    <w:rsid w:val="00EE0600"/>
    <w:rsid w:val="00F024D7"/>
    <w:rsid w:val="00F164EC"/>
    <w:rsid w:val="00F51087"/>
    <w:rsid w:val="00F86926"/>
    <w:rsid w:val="00FA54AD"/>
    <w:rsid w:val="00FC4B5B"/>
    <w:rsid w:val="00FC5F69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3ED61"/>
  <w15:docId w15:val="{950CD6B2-09EB-4572-B3FF-53229B9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99A"/>
    <w:pPr>
      <w:spacing w:after="5" w:line="261" w:lineRule="auto"/>
      <w:ind w:firstLine="711"/>
      <w:jc w:val="both"/>
    </w:pPr>
    <w:rPr>
      <w:rFonts w:ascii="Times New Roman" w:eastAsia="Times New Roman" w:hAnsi="Times New Roman"/>
      <w:color w:val="000000"/>
      <w:sz w:val="29"/>
      <w:szCs w:val="29"/>
    </w:rPr>
  </w:style>
  <w:style w:type="paragraph" w:styleId="1">
    <w:name w:val="heading 1"/>
    <w:basedOn w:val="a"/>
    <w:next w:val="a"/>
    <w:link w:val="10"/>
    <w:uiPriority w:val="99"/>
    <w:qFormat/>
    <w:rsid w:val="004F799A"/>
    <w:pPr>
      <w:keepNext/>
      <w:keepLines/>
      <w:spacing w:line="264" w:lineRule="auto"/>
      <w:ind w:left="10" w:right="26" w:hanging="1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799A"/>
    <w:rPr>
      <w:rFonts w:ascii="Times New Roman" w:hAnsi="Times New Roman" w:cs="Times New Roman"/>
      <w:b/>
      <w:bCs/>
      <w:color w:val="000000"/>
      <w:sz w:val="22"/>
      <w:szCs w:val="22"/>
      <w:lang w:val="ru-RU" w:eastAsia="ru-RU"/>
    </w:rPr>
  </w:style>
  <w:style w:type="table" w:customStyle="1" w:styleId="TableGrid">
    <w:name w:val="TableGrid"/>
    <w:uiPriority w:val="99"/>
    <w:rsid w:val="004F799A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Текс"/>
    <w:basedOn w:val="a"/>
    <w:uiPriority w:val="99"/>
    <w:rsid w:val="006C3A09"/>
    <w:pPr>
      <w:spacing w:after="0" w:line="240" w:lineRule="auto"/>
      <w:ind w:firstLine="284"/>
    </w:pPr>
    <w:rPr>
      <w:color w:val="auto"/>
      <w:sz w:val="24"/>
      <w:szCs w:val="24"/>
    </w:rPr>
  </w:style>
  <w:style w:type="paragraph" w:styleId="a4">
    <w:name w:val="List Paragraph"/>
    <w:basedOn w:val="a"/>
    <w:uiPriority w:val="99"/>
    <w:qFormat/>
    <w:rsid w:val="008C0F57"/>
    <w:pPr>
      <w:ind w:left="720"/>
    </w:pPr>
  </w:style>
  <w:style w:type="paragraph" w:styleId="a5">
    <w:name w:val="Balloon Text"/>
    <w:basedOn w:val="a"/>
    <w:link w:val="a6"/>
    <w:uiPriority w:val="99"/>
    <w:semiHidden/>
    <w:rsid w:val="00B724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E3D09"/>
    <w:rPr>
      <w:rFonts w:ascii="Times New Roman" w:hAnsi="Times New Roman" w:cs="Times New Roman"/>
      <w:color w:val="000000"/>
      <w:sz w:val="2"/>
      <w:szCs w:val="2"/>
    </w:rPr>
  </w:style>
  <w:style w:type="paragraph" w:styleId="a7">
    <w:name w:val="footer"/>
    <w:basedOn w:val="a"/>
    <w:link w:val="a8"/>
    <w:uiPriority w:val="99"/>
    <w:rsid w:val="00196B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color w:val="000000"/>
      <w:sz w:val="29"/>
      <w:szCs w:val="29"/>
    </w:rPr>
  </w:style>
  <w:style w:type="character" w:styleId="a9">
    <w:name w:val="page number"/>
    <w:basedOn w:val="a0"/>
    <w:uiPriority w:val="99"/>
    <w:rsid w:val="00196B83"/>
  </w:style>
  <w:style w:type="paragraph" w:styleId="HTML">
    <w:name w:val="HTML Preformatted"/>
    <w:basedOn w:val="a"/>
    <w:link w:val="HTML0"/>
    <w:uiPriority w:val="99"/>
    <w:semiHidden/>
    <w:unhideWhenUsed/>
    <w:rsid w:val="002F4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F4238"/>
    <w:rPr>
      <w:rFonts w:ascii="Courier New" w:eastAsia="Times New Roman" w:hAnsi="Courier New" w:cs="Courier New"/>
      <w:sz w:val="20"/>
      <w:szCs w:val="20"/>
    </w:rPr>
  </w:style>
  <w:style w:type="character" w:customStyle="1" w:styleId="text">
    <w:name w:val="text"/>
    <w:rsid w:val="002F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Лана</cp:lastModifiedBy>
  <cp:revision>3</cp:revision>
  <cp:lastPrinted>2016-12-21T09:44:00Z</cp:lastPrinted>
  <dcterms:created xsi:type="dcterms:W3CDTF">2018-08-02T07:55:00Z</dcterms:created>
  <dcterms:modified xsi:type="dcterms:W3CDTF">2018-08-02T08:21:00Z</dcterms:modified>
</cp:coreProperties>
</file>