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050" w:rsidRPr="00337B9B" w:rsidRDefault="008A1050" w:rsidP="005264A0">
      <w:pPr>
        <w:shd w:val="clear" w:color="auto" w:fill="FFFFFF"/>
        <w:spacing w:after="150" w:line="240" w:lineRule="auto"/>
        <w:ind w:firstLine="45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337B9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Інформаційне повідомлення</w:t>
      </w:r>
    </w:p>
    <w:p w:rsidR="008A1050" w:rsidRPr="00E93F91" w:rsidRDefault="008A1050" w:rsidP="005264A0">
      <w:pPr>
        <w:shd w:val="clear" w:color="auto" w:fill="FFFFFF"/>
        <w:spacing w:after="0" w:line="240" w:lineRule="auto"/>
        <w:ind w:firstLine="44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E93F9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про приватизацію об’єкта малої приватизації – нежитлових приміщень загальною площею 81,6 </w:t>
      </w:r>
      <w:proofErr w:type="spellStart"/>
      <w:r w:rsidRPr="00E93F9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кв.м</w:t>
      </w:r>
      <w:proofErr w:type="spellEnd"/>
      <w:r w:rsidRPr="00E93F9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., які розташовані за </w:t>
      </w:r>
      <w:proofErr w:type="spellStart"/>
      <w:r w:rsidRPr="00E93F9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адресою</w:t>
      </w:r>
      <w:proofErr w:type="spellEnd"/>
      <w:r w:rsidRPr="00E93F9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: м. Харків, вул. Дизельна, 1</w:t>
      </w:r>
    </w:p>
    <w:p w:rsidR="008A1050" w:rsidRPr="00E93F91" w:rsidRDefault="008A1050" w:rsidP="00A00A6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tbl>
      <w:tblPr>
        <w:tblW w:w="15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51"/>
        <w:gridCol w:w="8647"/>
      </w:tblGrid>
      <w:tr w:rsidR="008A1050" w:rsidRPr="00E93F91" w:rsidTr="005F0DF3">
        <w:tc>
          <w:tcPr>
            <w:tcW w:w="6451" w:type="dxa"/>
          </w:tcPr>
          <w:p w:rsidR="008A1050" w:rsidRPr="00E93F91" w:rsidRDefault="008A1050" w:rsidP="00DD062D">
            <w:pPr>
              <w:pStyle w:val="a4"/>
              <w:numPr>
                <w:ilvl w:val="0"/>
                <w:numId w:val="2"/>
              </w:numPr>
              <w:spacing w:after="150" w:line="240" w:lineRule="auto"/>
              <w:ind w:left="460" w:hanging="28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E93F9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інформація про об’єкт приватизації:</w:t>
            </w:r>
          </w:p>
        </w:tc>
        <w:tc>
          <w:tcPr>
            <w:tcW w:w="8647" w:type="dxa"/>
          </w:tcPr>
          <w:p w:rsidR="008A1050" w:rsidRPr="00E93F91" w:rsidRDefault="008A1050" w:rsidP="00DD062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A1050" w:rsidRPr="000C30E0" w:rsidTr="005F0DF3">
        <w:tc>
          <w:tcPr>
            <w:tcW w:w="6451" w:type="dxa"/>
          </w:tcPr>
          <w:p w:rsidR="008A1050" w:rsidRPr="00E93F91" w:rsidRDefault="008A1050" w:rsidP="00DD062D">
            <w:pPr>
              <w:pStyle w:val="a4"/>
              <w:spacing w:after="15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1.1. дані про нежитлові приміщення (місцезнаходження, площа,  функціональне використання нежитлових приміщень та умови користування ними</w:t>
            </w:r>
          </w:p>
        </w:tc>
        <w:tc>
          <w:tcPr>
            <w:tcW w:w="8647" w:type="dxa"/>
          </w:tcPr>
          <w:p w:rsidR="008A1050" w:rsidRPr="00E93F91" w:rsidRDefault="008A1050" w:rsidP="000B203A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bookmarkStart w:id="0" w:name="_Hlk8120996"/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Нежитлові приміщення 1-го поверху №1, 2 загальною площею </w:t>
            </w:r>
            <w:r w:rsidR="004F4D7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               </w:t>
            </w:r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81,6 </w:t>
            </w:r>
            <w:proofErr w:type="spellStart"/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кв.м</w:t>
            </w:r>
            <w:proofErr w:type="spellEnd"/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 розташовані в нежитловій одноповерховій будівлі</w:t>
            </w:r>
            <w:r w:rsidR="004F4D7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                            </w:t>
            </w:r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літ. «Б-1» в </w:t>
            </w:r>
            <w:r w:rsidR="004F4D7A" w:rsidRPr="004F4D7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Слобідському районі міста за </w:t>
            </w:r>
            <w:proofErr w:type="spellStart"/>
            <w:r w:rsidR="004F4D7A" w:rsidRPr="004F4D7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="004F4D7A" w:rsidRPr="004F4D7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: м. Харків, </w:t>
            </w:r>
            <w:r w:rsidR="004F4D7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                    </w:t>
            </w:r>
            <w:r w:rsidR="004F4D7A" w:rsidRPr="004F4D7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вул. Дизельна, 1. </w:t>
            </w:r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Рік побудови – 1960 р. </w:t>
            </w:r>
            <w:r w:rsidR="0003442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</w:t>
            </w:r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тіни – дерев’яні в цеглі, перекриття – дерев’яні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 покрівля з шиферу.</w:t>
            </w:r>
            <w:bookmarkEnd w:id="0"/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034422" w:rsidRPr="0003442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Опалення, електрика, водопостачання та водовідведення в приміщеннях відсутні. Технічний стан </w:t>
            </w:r>
            <w:r w:rsidR="00034422"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–</w:t>
            </w:r>
            <w:r w:rsidR="00034422" w:rsidRPr="0003442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задовільний.</w:t>
            </w:r>
            <w:r w:rsidR="0003442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Право власності зареєстроване 29.03.2017 р., реєстраційний номер 1214053763101.</w:t>
            </w:r>
          </w:p>
        </w:tc>
      </w:tr>
      <w:tr w:rsidR="008A1050" w:rsidRPr="00E93F91" w:rsidTr="005F0DF3">
        <w:tc>
          <w:tcPr>
            <w:tcW w:w="6451" w:type="dxa"/>
          </w:tcPr>
          <w:p w:rsidR="008A1050" w:rsidRPr="00E93F91" w:rsidRDefault="008A1050" w:rsidP="00DD062D">
            <w:pPr>
              <w:pStyle w:val="a4"/>
              <w:spacing w:after="15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1.2. інформація про договори оренди, укладені щодо об’єкта або його частини, із зазначенням за кожним таким договором найменування орендаря, орендованої площі, розміру місячної орендної плати, строку дії договору оренди</w:t>
            </w:r>
          </w:p>
        </w:tc>
        <w:tc>
          <w:tcPr>
            <w:tcW w:w="8647" w:type="dxa"/>
          </w:tcPr>
          <w:p w:rsidR="008A1050" w:rsidRPr="00E93F91" w:rsidRDefault="008A1050" w:rsidP="006B5FC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Зазначені нежитлові приміщення є вільними, в оренду не передані.</w:t>
            </w:r>
          </w:p>
        </w:tc>
      </w:tr>
      <w:tr w:rsidR="008A1050" w:rsidRPr="00E93F91" w:rsidTr="005F0DF3">
        <w:tc>
          <w:tcPr>
            <w:tcW w:w="6451" w:type="dxa"/>
          </w:tcPr>
          <w:p w:rsidR="008A1050" w:rsidRPr="00E93F91" w:rsidRDefault="008A1050" w:rsidP="00DD062D">
            <w:pPr>
              <w:pStyle w:val="a4"/>
              <w:spacing w:after="15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1.3. інформацію про балансоутримувача (найменування, його місцезнаходження і контактні дані)</w:t>
            </w:r>
          </w:p>
        </w:tc>
        <w:tc>
          <w:tcPr>
            <w:tcW w:w="8647" w:type="dxa"/>
          </w:tcPr>
          <w:p w:rsidR="008A1050" w:rsidRPr="00E93F91" w:rsidRDefault="008A1050" w:rsidP="006B5FC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Управління комунального майна та приватизації Департаменту економіки та комунального майна Харківської міської ради, код ЄДРПОУ 14095412, адреса: 61003, м. Харків, майдан Конституції, буд.16. Контактні дані: </w:t>
            </w:r>
            <w:proofErr w:type="spellStart"/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Замніус</w:t>
            </w:r>
            <w:proofErr w:type="spellEnd"/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Марина Василівна, контактний телефон +38(057)725 25 29, адреса електронної пошти </w:t>
            </w:r>
            <w:hyperlink r:id="rId7" w:history="1">
              <w:r w:rsidRPr="00E93F91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uk-UA" w:eastAsia="ru-RU"/>
                </w:rPr>
                <w:t>vpfv.10@gmail.com</w:t>
              </w:r>
            </w:hyperlink>
          </w:p>
          <w:p w:rsidR="008A1050" w:rsidRPr="00E93F91" w:rsidRDefault="008A1050" w:rsidP="00DD062D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A1050" w:rsidRPr="00E93F91" w:rsidTr="005F0DF3">
        <w:tc>
          <w:tcPr>
            <w:tcW w:w="6451" w:type="dxa"/>
          </w:tcPr>
          <w:p w:rsidR="008A1050" w:rsidRPr="00E93F91" w:rsidRDefault="008A1050" w:rsidP="00DD062D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1.4. план будівлі </w:t>
            </w:r>
          </w:p>
        </w:tc>
        <w:tc>
          <w:tcPr>
            <w:tcW w:w="8647" w:type="dxa"/>
          </w:tcPr>
          <w:p w:rsidR="008A1050" w:rsidRPr="00E93F91" w:rsidRDefault="00A54118" w:rsidP="006B5FC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У наявності</w:t>
            </w:r>
            <w:r w:rsidR="008A1050"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8A1050"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сканкопія</w:t>
            </w:r>
            <w:proofErr w:type="spellEnd"/>
            <w:r w:rsidR="008A1050"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технічного паспорту, виготовленого станом на 07.07.2016</w:t>
            </w:r>
          </w:p>
        </w:tc>
      </w:tr>
      <w:tr w:rsidR="008A1050" w:rsidRPr="00E93F91" w:rsidTr="005F0DF3">
        <w:tc>
          <w:tcPr>
            <w:tcW w:w="6451" w:type="dxa"/>
          </w:tcPr>
          <w:p w:rsidR="008A1050" w:rsidRPr="00E93F91" w:rsidRDefault="008A1050" w:rsidP="00DD062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1.5. фотографічне зображення об’єкта (у разі прийняття рішення органом приватизації)</w:t>
            </w:r>
          </w:p>
        </w:tc>
        <w:tc>
          <w:tcPr>
            <w:tcW w:w="8647" w:type="dxa"/>
          </w:tcPr>
          <w:p w:rsidR="008A1050" w:rsidRPr="00E93F91" w:rsidRDefault="00A54118" w:rsidP="00DD062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У наявності</w:t>
            </w:r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bookmarkStart w:id="1" w:name="_GoBack"/>
            <w:bookmarkEnd w:id="1"/>
          </w:p>
        </w:tc>
      </w:tr>
      <w:tr w:rsidR="008A1050" w:rsidRPr="00E93F91" w:rsidTr="005F0DF3">
        <w:tc>
          <w:tcPr>
            <w:tcW w:w="6451" w:type="dxa"/>
          </w:tcPr>
          <w:p w:rsidR="008A1050" w:rsidRPr="00E93F91" w:rsidRDefault="008A1050" w:rsidP="00DD062D">
            <w:pPr>
              <w:spacing w:after="15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E93F9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2. інформація про аукціон:</w:t>
            </w:r>
          </w:p>
        </w:tc>
        <w:tc>
          <w:tcPr>
            <w:tcW w:w="8647" w:type="dxa"/>
          </w:tcPr>
          <w:p w:rsidR="008A1050" w:rsidRPr="00E93F91" w:rsidRDefault="008A1050" w:rsidP="00DD062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A1050" w:rsidRPr="00E93F91" w:rsidTr="005F0DF3">
        <w:tc>
          <w:tcPr>
            <w:tcW w:w="6451" w:type="dxa"/>
          </w:tcPr>
          <w:p w:rsidR="008A1050" w:rsidRPr="00E93F91" w:rsidRDefault="008A1050" w:rsidP="00DD062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2.1. спосіб, дата та час проведення аукціону</w:t>
            </w:r>
          </w:p>
        </w:tc>
        <w:tc>
          <w:tcPr>
            <w:tcW w:w="8647" w:type="dxa"/>
          </w:tcPr>
          <w:p w:rsidR="008A1050" w:rsidRPr="00E93F91" w:rsidRDefault="008A1050" w:rsidP="00FD6956">
            <w:pPr>
              <w:pStyle w:val="a8"/>
              <w:ind w:firstLine="567"/>
              <w:rPr>
                <w:color w:val="000000"/>
              </w:rPr>
            </w:pPr>
            <w:r w:rsidRPr="00E93F91">
              <w:rPr>
                <w:color w:val="000000"/>
              </w:rPr>
              <w:t>Аукціон без умов:</w:t>
            </w:r>
            <w:r w:rsidR="00FD6956">
              <w:rPr>
                <w:b/>
                <w:color w:val="000000"/>
              </w:rPr>
              <w:t xml:space="preserve"> 12.06.2019</w:t>
            </w:r>
            <w:r w:rsidR="00FD6956">
              <w:rPr>
                <w:b/>
                <w:color w:val="000000"/>
                <w:lang w:val="ru-RU"/>
              </w:rPr>
              <w:t xml:space="preserve"> (</w:t>
            </w:r>
            <w:r w:rsidR="00FD6956" w:rsidRPr="007F6EA8">
              <w:rPr>
                <w:b/>
                <w:color w:val="000000"/>
              </w:rPr>
              <w:t xml:space="preserve">дванадцятого червня дві тисячі </w:t>
            </w:r>
            <w:r w:rsidR="00FD6956">
              <w:rPr>
                <w:b/>
                <w:color w:val="000000"/>
              </w:rPr>
              <w:t>дев’ятнадцятого року)</w:t>
            </w:r>
            <w:r w:rsidRPr="00E93F91">
              <w:rPr>
                <w:color w:val="000000"/>
              </w:rPr>
              <w:t>, година о котрій починається аукціон, встановлюється ЕТС для кожного електронного аукціону окремо в проміжку часу з 9-00 до 18-00 години</w:t>
            </w:r>
          </w:p>
          <w:p w:rsidR="008A1050" w:rsidRPr="00E93F91" w:rsidRDefault="008A1050" w:rsidP="00DD062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Період між аукціоном без умов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 складає </w:t>
            </w:r>
            <w:r w:rsidR="0083436C" w:rsidRPr="0083436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27</w:t>
            </w:r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календарних днів від дати опублікування інформаційного повідомлення електронною торговою системою про приватизацію об’єкта малої приватизації. Година о котрій починається аукціон, встановлюється ЕТС для кожного електронного аукціону окремо в проміжку часу з 9-00 до 18-00 години</w:t>
            </w:r>
          </w:p>
        </w:tc>
      </w:tr>
      <w:tr w:rsidR="008A1050" w:rsidRPr="00E93F91" w:rsidTr="005F0DF3">
        <w:tc>
          <w:tcPr>
            <w:tcW w:w="6451" w:type="dxa"/>
          </w:tcPr>
          <w:p w:rsidR="008A1050" w:rsidRPr="00E93F91" w:rsidRDefault="008A1050" w:rsidP="00DD062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2.2. кінцевий строк подання заяви на участь в електронному аукціоні</w:t>
            </w:r>
          </w:p>
        </w:tc>
        <w:tc>
          <w:tcPr>
            <w:tcW w:w="8647" w:type="dxa"/>
          </w:tcPr>
          <w:p w:rsidR="008A1050" w:rsidRPr="00E93F91" w:rsidRDefault="008A1050" w:rsidP="006B5FC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93F9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Кінцевий строк подання заяви на участь в електронному аукціоні без умов, аукціоні із зниженням стартової ціни</w:t>
            </w:r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встановлюється електронною торговою системою в проміжку часу з 19 години 30 хвилин до 20 години 30 хвилин дня, що передує дню проведення електронного аукціону.</w:t>
            </w:r>
          </w:p>
          <w:p w:rsidR="008A1050" w:rsidRPr="00E93F91" w:rsidRDefault="008A1050" w:rsidP="006B5FC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93F9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Кінцевий строк подання заяви на участь в електронному аукціоні за методом покрокового зниження стартової</w:t>
            </w:r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ціни та подальшого подання цінових пропозицій встановлюється електронною торговою системою з 16 години 15 хвилин до 16 години 45 хвилин дня проведення електронного аукціону.</w:t>
            </w:r>
          </w:p>
        </w:tc>
      </w:tr>
      <w:tr w:rsidR="008A1050" w:rsidRPr="00E93F91" w:rsidTr="005F0DF3">
        <w:tc>
          <w:tcPr>
            <w:tcW w:w="6451" w:type="dxa"/>
          </w:tcPr>
          <w:p w:rsidR="008A1050" w:rsidRPr="00E93F91" w:rsidRDefault="008A1050" w:rsidP="00DD062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93F9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3. інформація про умови, на яких здійснюється </w:t>
            </w:r>
            <w:r w:rsidRPr="00E93F9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lastRenderedPageBreak/>
              <w:t>приватизація об’єкта:</w:t>
            </w:r>
          </w:p>
        </w:tc>
        <w:tc>
          <w:tcPr>
            <w:tcW w:w="8647" w:type="dxa"/>
          </w:tcPr>
          <w:p w:rsidR="008A1050" w:rsidRPr="00E93F91" w:rsidRDefault="008A1050" w:rsidP="00DD062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A1050" w:rsidRPr="00E93F91" w:rsidTr="005F0DF3">
        <w:tc>
          <w:tcPr>
            <w:tcW w:w="6451" w:type="dxa"/>
            <w:vMerge w:val="restart"/>
          </w:tcPr>
          <w:p w:rsidR="008A1050" w:rsidRPr="00E93F91" w:rsidRDefault="008A1050" w:rsidP="00DD062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3.1. Стартова ціна об’єкта для кожного із способів приватизації</w:t>
            </w:r>
          </w:p>
        </w:tc>
        <w:tc>
          <w:tcPr>
            <w:tcW w:w="8647" w:type="dxa"/>
          </w:tcPr>
          <w:p w:rsidR="008A1050" w:rsidRPr="00E93F91" w:rsidRDefault="008A1050" w:rsidP="00DD062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93F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Аукціон без умов </w:t>
            </w:r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– 162 106,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00</w:t>
            </w:r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грн. без ПДВ</w:t>
            </w:r>
          </w:p>
        </w:tc>
      </w:tr>
      <w:tr w:rsidR="008A1050" w:rsidRPr="00E93F91" w:rsidTr="005F0DF3">
        <w:tc>
          <w:tcPr>
            <w:tcW w:w="6451" w:type="dxa"/>
            <w:vMerge/>
          </w:tcPr>
          <w:p w:rsidR="008A1050" w:rsidRPr="00E93F91" w:rsidRDefault="008A1050" w:rsidP="00DD062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647" w:type="dxa"/>
          </w:tcPr>
          <w:p w:rsidR="008A1050" w:rsidRPr="00E93F91" w:rsidRDefault="008A1050" w:rsidP="00AE7E8A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93F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Аукціон із зниженням стартової ціни </w:t>
            </w:r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– 81 053,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00</w:t>
            </w:r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грн. без ПДВ</w:t>
            </w:r>
          </w:p>
        </w:tc>
      </w:tr>
      <w:tr w:rsidR="008A1050" w:rsidRPr="00E93F91" w:rsidTr="005F0DF3">
        <w:tc>
          <w:tcPr>
            <w:tcW w:w="6451" w:type="dxa"/>
            <w:vMerge/>
          </w:tcPr>
          <w:p w:rsidR="008A1050" w:rsidRPr="00E93F91" w:rsidRDefault="008A1050" w:rsidP="00DD062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647" w:type="dxa"/>
          </w:tcPr>
          <w:p w:rsidR="008A1050" w:rsidRPr="00E93F91" w:rsidRDefault="008A1050" w:rsidP="00AE7E8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3F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Аукціон за методом покрокового зниження стартової ціни та подальшого подання цінових пропозицій </w:t>
            </w:r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– 81 053,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00</w:t>
            </w:r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грн. без ПДВ</w:t>
            </w:r>
          </w:p>
        </w:tc>
      </w:tr>
      <w:tr w:rsidR="008A1050" w:rsidRPr="00E93F91" w:rsidTr="005F0DF3">
        <w:tc>
          <w:tcPr>
            <w:tcW w:w="6451" w:type="dxa"/>
            <w:vMerge w:val="restart"/>
          </w:tcPr>
          <w:p w:rsidR="008A1050" w:rsidRPr="00E93F91" w:rsidRDefault="008A1050" w:rsidP="00DD062D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 розмір гарантійного внеску електронного аукціону для кожного із способів продажу</w:t>
            </w:r>
          </w:p>
          <w:p w:rsidR="008A1050" w:rsidRDefault="008A1050" w:rsidP="00DD062D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93F9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гарантійний внесок - сума коштів, що становить визначену у відсотках частину стартової ціни об’єкта приватизації, яка вноситься потенційним покупцем об’єкта приватизації для забезпечення виконання його зобов’язання щодо участі в аукціоні у вигляді грошових коштів в розмірі 10 відсотків стартової ціни </w:t>
            </w:r>
          </w:p>
          <w:p w:rsidR="00132AF2" w:rsidRPr="00E93F91" w:rsidRDefault="00132AF2" w:rsidP="00DD062D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8647" w:type="dxa"/>
          </w:tcPr>
          <w:p w:rsidR="008A1050" w:rsidRPr="00E93F91" w:rsidRDefault="008A1050" w:rsidP="00DD062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93F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Аукціон без умов – 16 210,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  <w:r w:rsidRPr="00E93F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грн</w:t>
            </w:r>
          </w:p>
        </w:tc>
      </w:tr>
      <w:tr w:rsidR="008A1050" w:rsidRPr="00E93F91" w:rsidTr="005F0DF3">
        <w:tc>
          <w:tcPr>
            <w:tcW w:w="6451" w:type="dxa"/>
            <w:vMerge/>
          </w:tcPr>
          <w:p w:rsidR="008A1050" w:rsidRPr="00E93F91" w:rsidRDefault="008A1050" w:rsidP="00DD062D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647" w:type="dxa"/>
          </w:tcPr>
          <w:p w:rsidR="008A1050" w:rsidRPr="00E93F91" w:rsidRDefault="008A1050" w:rsidP="00AE7E8A">
            <w:pPr>
              <w:pStyle w:val="a8"/>
              <w:ind w:firstLine="31"/>
              <w:rPr>
                <w:color w:val="000000"/>
              </w:rPr>
            </w:pPr>
            <w:r w:rsidRPr="00E93F91">
              <w:t>Аукціон із зниженням стартової ціни – 8 105,3</w:t>
            </w:r>
            <w:r>
              <w:t>0</w:t>
            </w:r>
            <w:r w:rsidRPr="00E93F91">
              <w:rPr>
                <w:color w:val="000000"/>
              </w:rPr>
              <w:t xml:space="preserve"> грн.</w:t>
            </w:r>
          </w:p>
        </w:tc>
      </w:tr>
      <w:tr w:rsidR="008A1050" w:rsidRPr="00E93F91" w:rsidTr="005F0DF3">
        <w:tc>
          <w:tcPr>
            <w:tcW w:w="6451" w:type="dxa"/>
            <w:vMerge/>
          </w:tcPr>
          <w:p w:rsidR="008A1050" w:rsidRPr="00E93F91" w:rsidRDefault="008A1050" w:rsidP="00DD062D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647" w:type="dxa"/>
          </w:tcPr>
          <w:p w:rsidR="008A1050" w:rsidRPr="00E93F91" w:rsidRDefault="008A1050" w:rsidP="00AE7E8A">
            <w:pPr>
              <w:pStyle w:val="a8"/>
              <w:ind w:firstLine="0"/>
              <w:rPr>
                <w:color w:val="000000"/>
              </w:rPr>
            </w:pPr>
            <w:r w:rsidRPr="00E93F91">
              <w:t>Аукціон за методом покрокового зниження стартової ціни та подальшого подання цінових пропозицій – 8 105,3</w:t>
            </w:r>
            <w:r>
              <w:t>0</w:t>
            </w:r>
            <w:r w:rsidRPr="00E93F91">
              <w:t xml:space="preserve"> </w:t>
            </w:r>
            <w:r w:rsidRPr="00E93F91">
              <w:rPr>
                <w:color w:val="000000"/>
              </w:rPr>
              <w:t>грн.</w:t>
            </w:r>
          </w:p>
        </w:tc>
      </w:tr>
      <w:tr w:rsidR="008A1050" w:rsidRPr="00E93F91" w:rsidTr="005F0DF3">
        <w:tc>
          <w:tcPr>
            <w:tcW w:w="6451" w:type="dxa"/>
          </w:tcPr>
          <w:p w:rsidR="008A1050" w:rsidRPr="00E93F91" w:rsidRDefault="008A1050" w:rsidP="00DD062D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bookmarkStart w:id="2" w:name="n102"/>
            <w:bookmarkEnd w:id="2"/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3.</w:t>
            </w:r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 розмір реєстраційного внеску</w:t>
            </w:r>
          </w:p>
          <w:p w:rsidR="008A1050" w:rsidRDefault="008A1050" w:rsidP="00DD062D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93F9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реєстраційний внесок - сума коштів у розмірі 0,2 мінімальної заробітної плати станом на 1 січня поточного року, що вноситься за реєстрацію заяви на участь у приватизації потенційним покупцем на відповідний рахунок оператора електронного майданчика, який протягом п’яти робочих днів з дня проведення аукціону зараховує їх до державного або місцевого бюджету</w:t>
            </w:r>
          </w:p>
          <w:p w:rsidR="00132AF2" w:rsidRPr="00E93F91" w:rsidRDefault="00132AF2" w:rsidP="00DD062D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8647" w:type="dxa"/>
          </w:tcPr>
          <w:p w:rsidR="008A1050" w:rsidRPr="00E93F91" w:rsidRDefault="008A1050" w:rsidP="00DD062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834,6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</w:t>
            </w:r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грн.</w:t>
            </w:r>
          </w:p>
        </w:tc>
      </w:tr>
      <w:tr w:rsidR="008A1050" w:rsidRPr="00E93F91" w:rsidTr="005F0DF3">
        <w:tc>
          <w:tcPr>
            <w:tcW w:w="6451" w:type="dxa"/>
          </w:tcPr>
          <w:p w:rsidR="008A1050" w:rsidRDefault="008A1050" w:rsidP="00C6494E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</w:t>
            </w:r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 додаткова інформація про умови, на яких здійснюється приватизація об’єкта</w:t>
            </w:r>
          </w:p>
          <w:p w:rsidR="00132AF2" w:rsidRDefault="00132AF2" w:rsidP="00C6494E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132AF2" w:rsidRPr="00E93F91" w:rsidRDefault="00132AF2" w:rsidP="00C6494E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647" w:type="dxa"/>
          </w:tcPr>
          <w:p w:rsidR="008A1050" w:rsidRPr="00E93F91" w:rsidRDefault="008A1050" w:rsidP="00C6494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 xml:space="preserve">При укладанні договору купівлі </w:t>
            </w:r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softHyphen/>
              <w:t>продажу об’єкта приватизації з покупцем на ціну продажу об’єкта нараховується ПДВ (податок на додану вартість) у розмірі 20 (двадцяти) відсотків</w:t>
            </w:r>
          </w:p>
        </w:tc>
      </w:tr>
      <w:tr w:rsidR="008A1050" w:rsidRPr="00E93F91" w:rsidTr="005F0DF3">
        <w:tc>
          <w:tcPr>
            <w:tcW w:w="6451" w:type="dxa"/>
          </w:tcPr>
          <w:p w:rsidR="008A1050" w:rsidRPr="00E93F91" w:rsidRDefault="008A1050" w:rsidP="00DD062D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93F9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4. додаткова інформація:</w:t>
            </w:r>
          </w:p>
        </w:tc>
        <w:tc>
          <w:tcPr>
            <w:tcW w:w="8647" w:type="dxa"/>
          </w:tcPr>
          <w:p w:rsidR="008A1050" w:rsidRPr="00E93F91" w:rsidRDefault="008A1050" w:rsidP="00DD062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BB29D6" w:rsidRPr="00A54118" w:rsidTr="005F0DF3">
        <w:tc>
          <w:tcPr>
            <w:tcW w:w="6451" w:type="dxa"/>
          </w:tcPr>
          <w:p w:rsidR="00BB29D6" w:rsidRPr="00E93F91" w:rsidRDefault="00BB29D6" w:rsidP="00BB29D6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4.1. найменування установи банку, її адреса та номери рахунків, відкритих для внесення гарантійного внеску, реєстраційного внеску та проведення розрахунків за придбані об’єкти</w:t>
            </w:r>
          </w:p>
        </w:tc>
        <w:tc>
          <w:tcPr>
            <w:tcW w:w="8647" w:type="dxa"/>
          </w:tcPr>
          <w:p w:rsidR="00BB29D6" w:rsidRPr="009A2067" w:rsidRDefault="00BB29D6" w:rsidP="00BB29D6">
            <w:pPr>
              <w:pStyle w:val="3"/>
              <w:shd w:val="clear" w:color="auto" w:fill="auto"/>
              <w:tabs>
                <w:tab w:val="left" w:pos="720"/>
              </w:tabs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bookmarkStart w:id="3" w:name="_Hlk6476606"/>
            <w:r w:rsidRPr="009A206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Одержувач: УДКСУ  у м. Харкові Харківської області</w:t>
            </w:r>
          </w:p>
          <w:p w:rsidR="00BB29D6" w:rsidRPr="009A2067" w:rsidRDefault="00BB29D6" w:rsidP="00BB29D6">
            <w:pPr>
              <w:pStyle w:val="3"/>
              <w:shd w:val="clear" w:color="auto" w:fill="auto"/>
              <w:tabs>
                <w:tab w:val="left" w:pos="720"/>
              </w:tabs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A206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Рахунок № 31512905020002 (для перерахування електронним майданчиком реєстраційних внесків учасників аукціону).</w:t>
            </w:r>
          </w:p>
          <w:p w:rsidR="00BB29D6" w:rsidRPr="009A2067" w:rsidRDefault="00BB29D6" w:rsidP="00BB29D6">
            <w:pPr>
              <w:pStyle w:val="3"/>
              <w:shd w:val="clear" w:color="auto" w:fill="auto"/>
              <w:tabs>
                <w:tab w:val="left" w:pos="720"/>
              </w:tabs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A206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Банк одержувача:  Казначейство України (ЕАП), МФО 899998</w:t>
            </w:r>
          </w:p>
          <w:p w:rsidR="00BB29D6" w:rsidRPr="009A2067" w:rsidRDefault="00BB29D6" w:rsidP="00BB29D6">
            <w:pPr>
              <w:pStyle w:val="3"/>
              <w:shd w:val="clear" w:color="auto" w:fill="auto"/>
              <w:tabs>
                <w:tab w:val="left" w:pos="720"/>
              </w:tabs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A206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Код ЄДРПОУ 37999649</w:t>
            </w:r>
          </w:p>
          <w:p w:rsidR="00BB29D6" w:rsidRPr="009A2067" w:rsidRDefault="00BB29D6" w:rsidP="00BB29D6">
            <w:pPr>
              <w:pStyle w:val="3"/>
              <w:shd w:val="clear" w:color="auto" w:fill="auto"/>
              <w:tabs>
                <w:tab w:val="left" w:pos="720"/>
              </w:tabs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A206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Код класифікації доходів бюджету: 31030000.</w:t>
            </w:r>
          </w:p>
          <w:bookmarkEnd w:id="3"/>
          <w:p w:rsidR="00BB29D6" w:rsidRPr="00132AF2" w:rsidRDefault="00BB29D6" w:rsidP="00BB29D6">
            <w:pPr>
              <w:pStyle w:val="3"/>
              <w:shd w:val="clear" w:color="auto" w:fill="auto"/>
              <w:tabs>
                <w:tab w:val="left" w:pos="720"/>
              </w:tabs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highlight w:val="green"/>
                <w:lang w:val="uk-UA"/>
              </w:rPr>
            </w:pPr>
          </w:p>
          <w:p w:rsidR="00BB29D6" w:rsidRPr="009A2067" w:rsidRDefault="00BB29D6" w:rsidP="00BB29D6">
            <w:pPr>
              <w:pStyle w:val="3"/>
              <w:shd w:val="clear" w:color="auto" w:fill="auto"/>
              <w:tabs>
                <w:tab w:val="left" w:pos="720"/>
              </w:tabs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en-US"/>
              </w:rPr>
            </w:pPr>
            <w:r w:rsidRPr="009A206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Одержувач: Управління комунального майна та приватизації Департаменту економіки та комунального майна Харківської міської ради. Рахунок № 37325007002208 (для перерахування електронним майданчиком: гарантійного внеску переможця аукціону, який не відповідає вимогам ст. 8 Закону, не подав документи або відомості, обов’язкове подання яких передбачено Законом, подав неправдиві відомості про себе, відмовився від підписання протоколу аукціону або договору купівлі-продажу)</w:t>
            </w:r>
            <w:r w:rsidRPr="009A206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en-US"/>
              </w:rPr>
              <w:t>.</w:t>
            </w:r>
          </w:p>
          <w:p w:rsidR="00BB29D6" w:rsidRPr="009A2067" w:rsidRDefault="00BB29D6" w:rsidP="00BB29D6">
            <w:pPr>
              <w:pStyle w:val="3"/>
              <w:shd w:val="clear" w:color="auto" w:fill="auto"/>
              <w:tabs>
                <w:tab w:val="left" w:pos="720"/>
              </w:tabs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A206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Банк одержувача: ГУДКСУ у Харківській області, МФО 851011. Код ЄДРПОУ 14095412.</w:t>
            </w:r>
          </w:p>
          <w:p w:rsidR="00BB29D6" w:rsidRPr="00132AF2" w:rsidRDefault="00BB29D6" w:rsidP="00BB29D6">
            <w:pPr>
              <w:pStyle w:val="3"/>
              <w:shd w:val="clear" w:color="auto" w:fill="auto"/>
              <w:tabs>
                <w:tab w:val="left" w:pos="720"/>
              </w:tabs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  <w:p w:rsidR="00BB29D6" w:rsidRPr="009A2067" w:rsidRDefault="00BB29D6" w:rsidP="00BB29D6">
            <w:pPr>
              <w:pStyle w:val="3"/>
              <w:shd w:val="clear" w:color="auto" w:fill="auto"/>
              <w:tabs>
                <w:tab w:val="left" w:pos="720"/>
              </w:tabs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A206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Одержувач: Управління комунального майна та приватизації Департаменту економіки та комунального майна Харківської міської ради. Рахунок № 37189005002208 </w:t>
            </w:r>
            <w:r w:rsidRPr="009A206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en-US"/>
              </w:rPr>
              <w:t xml:space="preserve">(для перерахування гарантійного внеску переможця аукціону, перерахування електронним майданчиком пені (якщо така дія настала), </w:t>
            </w:r>
            <w:r w:rsidRPr="009A206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проведення переможцем аукціону розрахунків за придбаний об’єкт</w:t>
            </w:r>
            <w:r w:rsidRPr="009A206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en-US"/>
              </w:rPr>
              <w:t>)</w:t>
            </w:r>
            <w:r w:rsidRPr="009A206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 Банк одержувача: ГУДКСУ у Харківській області, МФО </w:t>
            </w:r>
            <w:r w:rsidRPr="009A206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851011. Код ЄДРПОУ 14095412.</w:t>
            </w:r>
          </w:p>
          <w:p w:rsidR="00BB29D6" w:rsidRPr="00132AF2" w:rsidRDefault="00BB29D6" w:rsidP="00BB29D6">
            <w:pPr>
              <w:pStyle w:val="3"/>
              <w:shd w:val="clear" w:color="auto" w:fill="auto"/>
              <w:tabs>
                <w:tab w:val="left" w:pos="720"/>
              </w:tabs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  <w:p w:rsidR="00BB29D6" w:rsidRPr="009A2067" w:rsidRDefault="00BB29D6" w:rsidP="00BB29D6">
            <w:pPr>
              <w:pStyle w:val="3"/>
              <w:shd w:val="clear" w:color="auto" w:fill="auto"/>
              <w:tabs>
                <w:tab w:val="left" w:pos="720"/>
              </w:tabs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A206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Інформація про валютний рахунок (</w:t>
            </w:r>
            <w:proofErr w:type="spellStart"/>
            <w:r w:rsidRPr="009A206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сканкопія</w:t>
            </w:r>
            <w:proofErr w:type="spellEnd"/>
            <w:r w:rsidRPr="009A206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реквізитів додається).</w:t>
            </w:r>
          </w:p>
          <w:p w:rsidR="00BB29D6" w:rsidRPr="00E93F91" w:rsidRDefault="00BB29D6" w:rsidP="00BB29D6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A1050" w:rsidRPr="00A54118" w:rsidTr="005F0DF3">
        <w:tc>
          <w:tcPr>
            <w:tcW w:w="6451" w:type="dxa"/>
          </w:tcPr>
          <w:p w:rsidR="008A1050" w:rsidRPr="00E93F91" w:rsidRDefault="008A1050" w:rsidP="00DD062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4.2. 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в інформаційному повідомленні шляхом розміщення посилання на сторінку офіційного веб-</w:t>
            </w:r>
            <w:proofErr w:type="spellStart"/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сайта</w:t>
            </w:r>
            <w:proofErr w:type="spellEnd"/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8647" w:type="dxa"/>
          </w:tcPr>
          <w:p w:rsidR="008A1050" w:rsidRPr="00E93F91" w:rsidRDefault="00A54118" w:rsidP="005057D9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hyperlink r:id="rId8" w:history="1">
              <w:r w:rsidR="008A1050" w:rsidRPr="00E93F91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lang w:val="uk-UA" w:eastAsia="ru-RU"/>
                </w:rPr>
                <w:t>https://prozorro.sale/info/elektronni-majdanchiki-ets-prozorroprodazhi-cbd2</w:t>
              </w:r>
            </w:hyperlink>
          </w:p>
        </w:tc>
      </w:tr>
      <w:tr w:rsidR="008A1050" w:rsidRPr="00E93F91" w:rsidTr="005F0DF3">
        <w:tc>
          <w:tcPr>
            <w:tcW w:w="6451" w:type="dxa"/>
          </w:tcPr>
          <w:p w:rsidR="008A1050" w:rsidRPr="00E93F91" w:rsidRDefault="008A1050" w:rsidP="00DD062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4.3. найменування особи організатора аукціону, його місцезнаходження, адреса веб-сайту, номер телефону, час роботи служби з організації аукціону (прізвище, ім’я, по батькові контактної особи організатора аукціону, яка є відповідальною за забезпечення можливості огляду об’єкта, номер телефону, адреса електронної пошти)</w:t>
            </w:r>
          </w:p>
        </w:tc>
        <w:tc>
          <w:tcPr>
            <w:tcW w:w="8647" w:type="dxa"/>
          </w:tcPr>
          <w:p w:rsidR="008A1050" w:rsidRPr="00E93F91" w:rsidRDefault="008A1050" w:rsidP="00DD062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Управління комунального майна та приватизації Департаменту економіки та комунального майна Харківської міської ради, код за ЄДРПОУ 14095412, адреса: 61003, м. Харків, майдан Конституції, буд.16; </w:t>
            </w:r>
            <w:proofErr w:type="spellStart"/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тел</w:t>
            </w:r>
            <w:proofErr w:type="spellEnd"/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. (057)725-25-29; часи роботи: Пн-Чт з 9-00 до 18-00, Пт з 9-00 до 16-45. Контактна особа: </w:t>
            </w:r>
            <w:proofErr w:type="spellStart"/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Замніус</w:t>
            </w:r>
            <w:proofErr w:type="spellEnd"/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Марина Василівна, контактний телефон +38(057)725 25 29, адреса електронної пошти </w:t>
            </w:r>
            <w:hyperlink r:id="rId9" w:history="1">
              <w:r w:rsidRPr="00E93F91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uk-UA" w:eastAsia="ru-RU"/>
                </w:rPr>
                <w:t>vpfv.10@gmail.com</w:t>
              </w:r>
            </w:hyperlink>
          </w:p>
        </w:tc>
      </w:tr>
      <w:tr w:rsidR="008A1050" w:rsidRPr="00E93F91" w:rsidTr="005F0DF3">
        <w:tc>
          <w:tcPr>
            <w:tcW w:w="6451" w:type="dxa"/>
          </w:tcPr>
          <w:p w:rsidR="008A1050" w:rsidRPr="00E93F91" w:rsidRDefault="008A1050" w:rsidP="00DD062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4.4. час і місце проведення огляду об’єкта</w:t>
            </w:r>
          </w:p>
        </w:tc>
        <w:tc>
          <w:tcPr>
            <w:tcW w:w="8647" w:type="dxa"/>
          </w:tcPr>
          <w:p w:rsidR="008A1050" w:rsidRPr="00E93F91" w:rsidRDefault="008A1050" w:rsidP="00DD062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829D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Ознайомитися з об’єктом можна за місцем його розташування у робочі дні, попередньо узгодивши з Управління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</w:t>
            </w:r>
            <w:r w:rsidRPr="000829D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комунального майна та приватизації годину огляду за телефоном+38(057)725 25 29 у робочі дні з 10-00 до 17-00.</w:t>
            </w:r>
          </w:p>
        </w:tc>
      </w:tr>
      <w:tr w:rsidR="008A1050" w:rsidRPr="00E93F91" w:rsidTr="005F0DF3">
        <w:tc>
          <w:tcPr>
            <w:tcW w:w="6451" w:type="dxa"/>
          </w:tcPr>
          <w:p w:rsidR="008A1050" w:rsidRPr="00E93F91" w:rsidRDefault="008A1050" w:rsidP="00DD062D">
            <w:pPr>
              <w:spacing w:after="15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E93F9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5. технічні реквізити інформаційного повідомлення:</w:t>
            </w:r>
          </w:p>
        </w:tc>
        <w:tc>
          <w:tcPr>
            <w:tcW w:w="8647" w:type="dxa"/>
          </w:tcPr>
          <w:p w:rsidR="008A1050" w:rsidRPr="00E93F91" w:rsidRDefault="008A1050" w:rsidP="00DD062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A1050" w:rsidRPr="00A54118" w:rsidTr="005F0DF3">
        <w:tc>
          <w:tcPr>
            <w:tcW w:w="6451" w:type="dxa"/>
          </w:tcPr>
          <w:p w:rsidR="008A1050" w:rsidRPr="00E93F91" w:rsidRDefault="008A1050" w:rsidP="00DD062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5.1. дата і номер рішення органу приватизації про затвердження умов продажу об’єкта приватизації</w:t>
            </w:r>
          </w:p>
        </w:tc>
        <w:tc>
          <w:tcPr>
            <w:tcW w:w="8647" w:type="dxa"/>
          </w:tcPr>
          <w:p w:rsidR="008A1050" w:rsidRPr="00E93F91" w:rsidRDefault="008A1050" w:rsidP="00DD062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Наказ Управління комунального майна та приватизації Департаменту економіки та комунального майна Харківської міської ради від </w:t>
            </w:r>
            <w:r w:rsidR="00CC7DB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10.05.</w:t>
            </w:r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2019 № </w:t>
            </w:r>
            <w:r w:rsidR="00CC7DB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104</w:t>
            </w:r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«</w:t>
            </w:r>
            <w:bookmarkStart w:id="4" w:name="_Hlk511746647"/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Про за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твердження протоколу №</w:t>
            </w:r>
            <w:r w:rsidR="00E538B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</w:t>
            </w:r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від </w:t>
            </w:r>
            <w:r w:rsidR="00E538B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06.05</w:t>
            </w:r>
            <w:r w:rsidR="00A944F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.2019</w:t>
            </w:r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 xml:space="preserve">засідання аукціонної комісії </w:t>
            </w:r>
            <w:bookmarkEnd w:id="4"/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для продажу об’єктів комунальної власності територіальної громади м. Харкова, що підлягають приватизації шляхом продажу на аукціоні на підставі рішення 26 сесії Харківської міської ради 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скликання від 17.04.2019 №1561</w:t>
            </w:r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/19 «Про приватизацію об’єктів комунальної власності територіальної громади м. Харкова» </w:t>
            </w:r>
          </w:p>
        </w:tc>
      </w:tr>
      <w:tr w:rsidR="008A1050" w:rsidRPr="002E1630" w:rsidTr="005F0DF3">
        <w:tc>
          <w:tcPr>
            <w:tcW w:w="6451" w:type="dxa"/>
          </w:tcPr>
          <w:p w:rsidR="008A1050" w:rsidRPr="00E93F91" w:rsidRDefault="008A1050" w:rsidP="00DD062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5.2. унікальний код, присвоєний об’єкту приватизації під час публікації переліку об’єктів, що підлягають приватизації, в електронній торговій системі</w:t>
            </w:r>
          </w:p>
        </w:tc>
        <w:bookmarkStart w:id="5" w:name="assetID"/>
        <w:tc>
          <w:tcPr>
            <w:tcW w:w="8647" w:type="dxa"/>
          </w:tcPr>
          <w:p w:rsidR="008A1050" w:rsidRPr="002E1630" w:rsidRDefault="008A1050" w:rsidP="00DD062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fldChar w:fldCharType="begin"/>
            </w:r>
            <w:r>
              <w:instrText xml:space="preserve"> HYPERLINK "https://sale.uub.com.ua/asset/UA-AR-P-2019-04-17-000001-2" </w:instrText>
            </w:r>
            <w:r>
              <w:fldChar w:fldCharType="separate"/>
            </w:r>
            <w:r>
              <w:rPr>
                <w:rStyle w:val="a7"/>
                <w:rFonts w:ascii="Arial" w:hAnsi="Arial" w:cs="Arial"/>
                <w:sz w:val="19"/>
                <w:szCs w:val="19"/>
              </w:rPr>
              <w:t>UA-AR-P-2019-04-17-000001-2</w:t>
            </w:r>
            <w:r>
              <w:fldChar w:fldCharType="end"/>
            </w:r>
            <w:bookmarkEnd w:id="5"/>
          </w:p>
        </w:tc>
      </w:tr>
      <w:tr w:rsidR="008A1050" w:rsidRPr="00E93F91" w:rsidTr="005F0DF3">
        <w:tc>
          <w:tcPr>
            <w:tcW w:w="6451" w:type="dxa"/>
            <w:vMerge w:val="restart"/>
          </w:tcPr>
          <w:p w:rsidR="008A1050" w:rsidRPr="00E93F91" w:rsidRDefault="008A1050" w:rsidP="00DD062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5.3. крок аукціону для кожного із способів продажу</w:t>
            </w:r>
          </w:p>
          <w:p w:rsidR="008A1050" w:rsidRPr="00E93F91" w:rsidRDefault="008A1050" w:rsidP="00DD062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Мінімальний крок аукціону становить 1 відсоток стартової ціни лота</w:t>
            </w:r>
          </w:p>
        </w:tc>
        <w:tc>
          <w:tcPr>
            <w:tcW w:w="8647" w:type="dxa"/>
          </w:tcPr>
          <w:p w:rsidR="008A1050" w:rsidRPr="00E93F91" w:rsidRDefault="008A1050" w:rsidP="00DD062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Аукціон без умов – </w:t>
            </w:r>
            <w:bookmarkStart w:id="6" w:name="_Hlk5872289"/>
            <w:r w:rsidRPr="00E93F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1 621,06 </w:t>
            </w:r>
            <w:bookmarkEnd w:id="6"/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грн.</w:t>
            </w:r>
          </w:p>
        </w:tc>
      </w:tr>
      <w:tr w:rsidR="008A1050" w:rsidRPr="00E93F91" w:rsidTr="005F0DF3">
        <w:tc>
          <w:tcPr>
            <w:tcW w:w="6451" w:type="dxa"/>
            <w:vMerge/>
          </w:tcPr>
          <w:p w:rsidR="008A1050" w:rsidRPr="00E93F91" w:rsidRDefault="008A1050" w:rsidP="00DD062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647" w:type="dxa"/>
          </w:tcPr>
          <w:p w:rsidR="008A1050" w:rsidRPr="00E93F91" w:rsidRDefault="008A1050" w:rsidP="004142FF">
            <w:pPr>
              <w:pStyle w:val="a8"/>
              <w:ind w:firstLine="0"/>
              <w:rPr>
                <w:color w:val="000000"/>
              </w:rPr>
            </w:pPr>
            <w:r w:rsidRPr="00E93F91">
              <w:t>Аукціон із зниженням стартової ціни –</w:t>
            </w:r>
            <w:bookmarkStart w:id="7" w:name="_Hlk5872344"/>
            <w:r w:rsidRPr="00E93F91">
              <w:t>810,53</w:t>
            </w:r>
            <w:bookmarkEnd w:id="7"/>
            <w:r w:rsidRPr="00E93F91">
              <w:t xml:space="preserve"> грн.</w:t>
            </w:r>
          </w:p>
        </w:tc>
      </w:tr>
      <w:tr w:rsidR="008A1050" w:rsidRPr="00E93F91" w:rsidTr="005F0DF3">
        <w:tc>
          <w:tcPr>
            <w:tcW w:w="6451" w:type="dxa"/>
            <w:vMerge/>
          </w:tcPr>
          <w:p w:rsidR="008A1050" w:rsidRPr="00E93F91" w:rsidRDefault="008A1050" w:rsidP="00DD062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647" w:type="dxa"/>
          </w:tcPr>
          <w:p w:rsidR="008A1050" w:rsidRPr="00E93F91" w:rsidRDefault="008A1050" w:rsidP="00DD062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Аукціон за методом покрокового зниження стартової ціни та подальшого подання цінових пропозицій – 810,53 грн</w:t>
            </w:r>
            <w:r w:rsidRPr="00E93F91">
              <w:rPr>
                <w:color w:val="000000"/>
                <w:lang w:val="uk-UA"/>
              </w:rPr>
              <w:t>.</w:t>
            </w:r>
          </w:p>
        </w:tc>
      </w:tr>
      <w:tr w:rsidR="008A1050" w:rsidRPr="00E93F91" w:rsidTr="005F0DF3">
        <w:tc>
          <w:tcPr>
            <w:tcW w:w="6451" w:type="dxa"/>
          </w:tcPr>
          <w:p w:rsidR="008A1050" w:rsidRPr="00E93F91" w:rsidRDefault="008A1050" w:rsidP="00DD062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5.4. встановлена органами приватизації територіальних громад кількість кроків аукціону за методом покрокового зниження стартової ціни та подальшого подання цінових пропозицій</w:t>
            </w:r>
          </w:p>
          <w:p w:rsidR="008A1050" w:rsidRDefault="008A1050" w:rsidP="003D3E33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93F9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Загальна кількість кроків, на які знижується стартова ціна лота, становить 99 кроків, якщо інше не визначено органом приватизації територіальної громади в інформаційному повідомленні.</w:t>
            </w:r>
            <w:bookmarkStart w:id="8" w:name="n225"/>
            <w:bookmarkEnd w:id="8"/>
            <w:r w:rsidRPr="00E93F9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Органами приватизації територіальних громад може бути встановлена кількість кроків, на які знижується стартова ціна об’єкта приватизації, до 99 включно. </w:t>
            </w:r>
          </w:p>
          <w:p w:rsidR="008F3FF5" w:rsidRPr="00E93F91" w:rsidRDefault="008F3FF5" w:rsidP="003D3E33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647" w:type="dxa"/>
          </w:tcPr>
          <w:p w:rsidR="008A1050" w:rsidRPr="00E93F91" w:rsidRDefault="008A1050" w:rsidP="00DD062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lang w:val="uk-UA" w:eastAsia="ru-RU"/>
              </w:rPr>
            </w:pPr>
            <w:r w:rsidRPr="009772D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8A1050" w:rsidRPr="00A54118" w:rsidTr="005F0DF3">
        <w:tc>
          <w:tcPr>
            <w:tcW w:w="6451" w:type="dxa"/>
          </w:tcPr>
          <w:p w:rsidR="008A1050" w:rsidRPr="00E93F91" w:rsidRDefault="008A1050" w:rsidP="00DD062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93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5.5. єдине посилання на веб-сторінку адміністратора, на якій є посилання на веб-сторінки операторів електронного майданчика, які мають право використовувати електронний майданчик і з якими адміністратор уклав відповідний договір (оператори зазначаються в алфавітному порядку)</w:t>
            </w:r>
          </w:p>
        </w:tc>
        <w:tc>
          <w:tcPr>
            <w:tcW w:w="8647" w:type="dxa"/>
          </w:tcPr>
          <w:p w:rsidR="008A1050" w:rsidRPr="00E93F91" w:rsidRDefault="00A54118" w:rsidP="00DD062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hyperlink r:id="rId10" w:history="1">
              <w:r w:rsidR="008A1050" w:rsidRPr="00E93F91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  <w:lang w:val="uk-UA" w:eastAsia="ru-RU"/>
                </w:rPr>
                <w:t>https://prozorro.sale/info/elektronni-majdanchiki-ets-prozorroprodazhi-cbd2</w:t>
              </w:r>
            </w:hyperlink>
          </w:p>
        </w:tc>
      </w:tr>
      <w:tr w:rsidR="008A1050" w:rsidRPr="00E93F91" w:rsidTr="005F0DF3">
        <w:tc>
          <w:tcPr>
            <w:tcW w:w="6451" w:type="dxa"/>
          </w:tcPr>
          <w:p w:rsidR="008A1050" w:rsidRPr="003274B1" w:rsidRDefault="008A1050" w:rsidP="009346EA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5.6. Проект договору купівлі-продажу</w:t>
            </w:r>
          </w:p>
        </w:tc>
        <w:tc>
          <w:tcPr>
            <w:tcW w:w="8647" w:type="dxa"/>
          </w:tcPr>
          <w:p w:rsidR="008A1050" w:rsidRPr="00E130E8" w:rsidRDefault="008A1050" w:rsidP="009346EA">
            <w:pPr>
              <w:spacing w:after="150"/>
              <w:jc w:val="both"/>
              <w:rPr>
                <w:lang w:val="uk-UA"/>
              </w:rPr>
            </w:pPr>
            <w:r w:rsidRPr="00E130E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додається</w:t>
            </w:r>
          </w:p>
        </w:tc>
      </w:tr>
    </w:tbl>
    <w:p w:rsidR="008A1050" w:rsidRPr="00E93F91" w:rsidRDefault="008A1050" w:rsidP="002203DA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9" w:name="n459"/>
      <w:bookmarkStart w:id="10" w:name="n460"/>
      <w:bookmarkStart w:id="11" w:name="n461"/>
      <w:bookmarkStart w:id="12" w:name="n462"/>
      <w:bookmarkStart w:id="13" w:name="n463"/>
      <w:bookmarkStart w:id="14" w:name="n464"/>
      <w:bookmarkStart w:id="15" w:name="n465"/>
      <w:bookmarkStart w:id="16" w:name="n466"/>
      <w:bookmarkStart w:id="17" w:name="n467"/>
      <w:bookmarkStart w:id="18" w:name="n468"/>
      <w:bookmarkStart w:id="19" w:name="n469"/>
      <w:bookmarkStart w:id="20" w:name="n470"/>
      <w:bookmarkStart w:id="21" w:name="n471"/>
      <w:bookmarkStart w:id="22" w:name="n472"/>
      <w:bookmarkStart w:id="23" w:name="n95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sectPr w:rsidR="008A1050" w:rsidRPr="00E93F91" w:rsidSect="008F2D7D">
      <w:headerReference w:type="default" r:id="rId11"/>
      <w:headerReference w:type="first" r:id="rId12"/>
      <w:pgSz w:w="16838" w:h="11906" w:orient="landscape"/>
      <w:pgMar w:top="709" w:right="1134" w:bottom="53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D7D" w:rsidRDefault="008F2D7D" w:rsidP="008F2D7D">
      <w:pPr>
        <w:spacing w:after="0" w:line="240" w:lineRule="auto"/>
      </w:pPr>
      <w:r>
        <w:separator/>
      </w:r>
    </w:p>
  </w:endnote>
  <w:endnote w:type="continuationSeparator" w:id="0">
    <w:p w:rsidR="008F2D7D" w:rsidRDefault="008F2D7D" w:rsidP="008F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D7D" w:rsidRDefault="008F2D7D" w:rsidP="008F2D7D">
      <w:pPr>
        <w:spacing w:after="0" w:line="240" w:lineRule="auto"/>
      </w:pPr>
      <w:r>
        <w:separator/>
      </w:r>
    </w:p>
  </w:footnote>
  <w:footnote w:type="continuationSeparator" w:id="0">
    <w:p w:rsidR="008F2D7D" w:rsidRDefault="008F2D7D" w:rsidP="008F2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7"/>
      <w:gridCol w:w="4858"/>
      <w:gridCol w:w="4855"/>
    </w:tblGrid>
    <w:tr w:rsidR="008F2D7D">
      <w:trPr>
        <w:trHeight w:val="720"/>
      </w:trPr>
      <w:tc>
        <w:tcPr>
          <w:tcW w:w="1667" w:type="pct"/>
        </w:tcPr>
        <w:p w:rsidR="008F2D7D" w:rsidRPr="008F2D7D" w:rsidRDefault="008F2D7D">
          <w:pPr>
            <w:pStyle w:val="ab"/>
            <w:tabs>
              <w:tab w:val="clear" w:pos="4677"/>
              <w:tab w:val="clear" w:pos="9355"/>
            </w:tabs>
            <w:rPr>
              <w:color w:val="4F81BD"/>
            </w:rPr>
          </w:pPr>
        </w:p>
      </w:tc>
      <w:tc>
        <w:tcPr>
          <w:tcW w:w="1667" w:type="pct"/>
        </w:tcPr>
        <w:p w:rsidR="008F2D7D" w:rsidRPr="008F2D7D" w:rsidRDefault="008F2D7D">
          <w:pPr>
            <w:pStyle w:val="ab"/>
            <w:tabs>
              <w:tab w:val="clear" w:pos="4677"/>
              <w:tab w:val="clear" w:pos="9355"/>
            </w:tabs>
            <w:jc w:val="center"/>
            <w:rPr>
              <w:color w:val="4F81BD"/>
            </w:rPr>
          </w:pPr>
        </w:p>
      </w:tc>
      <w:tc>
        <w:tcPr>
          <w:tcW w:w="1666" w:type="pct"/>
        </w:tcPr>
        <w:p w:rsidR="008F2D7D" w:rsidRPr="008F2D7D" w:rsidRDefault="008F2D7D">
          <w:pPr>
            <w:pStyle w:val="ab"/>
            <w:tabs>
              <w:tab w:val="clear" w:pos="4677"/>
              <w:tab w:val="clear" w:pos="9355"/>
            </w:tabs>
            <w:jc w:val="right"/>
            <w:rPr>
              <w:color w:val="4F81BD"/>
            </w:rPr>
          </w:pPr>
          <w:r w:rsidRPr="008F2D7D">
            <w:rPr>
              <w:color w:val="4F81BD"/>
              <w:sz w:val="24"/>
              <w:szCs w:val="24"/>
            </w:rPr>
            <w:fldChar w:fldCharType="begin"/>
          </w:r>
          <w:r w:rsidRPr="008F2D7D">
            <w:rPr>
              <w:color w:val="4F81BD"/>
              <w:sz w:val="24"/>
              <w:szCs w:val="24"/>
            </w:rPr>
            <w:instrText>PAGE   \* MERGEFORMAT</w:instrText>
          </w:r>
          <w:r w:rsidRPr="008F2D7D">
            <w:rPr>
              <w:color w:val="4F81BD"/>
              <w:sz w:val="24"/>
              <w:szCs w:val="24"/>
            </w:rPr>
            <w:fldChar w:fldCharType="separate"/>
          </w:r>
          <w:r w:rsidRPr="008F2D7D">
            <w:rPr>
              <w:color w:val="4F81BD"/>
              <w:sz w:val="24"/>
              <w:szCs w:val="24"/>
            </w:rPr>
            <w:t>0</w:t>
          </w:r>
          <w:r w:rsidRPr="008F2D7D">
            <w:rPr>
              <w:color w:val="4F81BD"/>
              <w:sz w:val="24"/>
              <w:szCs w:val="24"/>
            </w:rPr>
            <w:fldChar w:fldCharType="end"/>
          </w:r>
        </w:p>
      </w:tc>
    </w:tr>
  </w:tbl>
  <w:p w:rsidR="008F2D7D" w:rsidRDefault="008F2D7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2D7D" w:rsidRDefault="008F2D7D" w:rsidP="008F2D7D">
    <w:pPr>
      <w:pStyle w:val="ab"/>
      <w:ind w:firstLine="13183"/>
    </w:pPr>
    <w:proofErr w:type="spellStart"/>
    <w:r>
      <w:t>Додаток</w:t>
    </w:r>
    <w:proofErr w:type="spellEnd"/>
    <w: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0553A"/>
    <w:multiLevelType w:val="hybridMultilevel"/>
    <w:tmpl w:val="BE263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E689C"/>
    <w:multiLevelType w:val="hybridMultilevel"/>
    <w:tmpl w:val="E9D8BC42"/>
    <w:lvl w:ilvl="0" w:tplc="1AD6F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0A68"/>
    <w:rsid w:val="00034422"/>
    <w:rsid w:val="00043BE8"/>
    <w:rsid w:val="000829DE"/>
    <w:rsid w:val="000B203A"/>
    <w:rsid w:val="000C30E0"/>
    <w:rsid w:val="000D744A"/>
    <w:rsid w:val="000E1077"/>
    <w:rsid w:val="000F20AE"/>
    <w:rsid w:val="00132AF2"/>
    <w:rsid w:val="00152335"/>
    <w:rsid w:val="00175B6B"/>
    <w:rsid w:val="001C4389"/>
    <w:rsid w:val="001C54B8"/>
    <w:rsid w:val="002203DA"/>
    <w:rsid w:val="002362C9"/>
    <w:rsid w:val="0027515E"/>
    <w:rsid w:val="00281AE6"/>
    <w:rsid w:val="002B4DA2"/>
    <w:rsid w:val="002C64D7"/>
    <w:rsid w:val="002E1630"/>
    <w:rsid w:val="003274B1"/>
    <w:rsid w:val="00337B9B"/>
    <w:rsid w:val="003C14F5"/>
    <w:rsid w:val="003D3E33"/>
    <w:rsid w:val="003E4AE2"/>
    <w:rsid w:val="0040453B"/>
    <w:rsid w:val="004142FF"/>
    <w:rsid w:val="0041659D"/>
    <w:rsid w:val="00445450"/>
    <w:rsid w:val="0044686C"/>
    <w:rsid w:val="00470095"/>
    <w:rsid w:val="00495623"/>
    <w:rsid w:val="004B34A9"/>
    <w:rsid w:val="004F4D7A"/>
    <w:rsid w:val="005016B1"/>
    <w:rsid w:val="005057D9"/>
    <w:rsid w:val="005264A0"/>
    <w:rsid w:val="00590DC2"/>
    <w:rsid w:val="005F0DF3"/>
    <w:rsid w:val="005F46F1"/>
    <w:rsid w:val="006B5FCD"/>
    <w:rsid w:val="007215CC"/>
    <w:rsid w:val="00787652"/>
    <w:rsid w:val="0083436C"/>
    <w:rsid w:val="00845C81"/>
    <w:rsid w:val="008A1050"/>
    <w:rsid w:val="008F2D7D"/>
    <w:rsid w:val="008F3FF5"/>
    <w:rsid w:val="009346EA"/>
    <w:rsid w:val="009772DB"/>
    <w:rsid w:val="009E617A"/>
    <w:rsid w:val="00A00A68"/>
    <w:rsid w:val="00A54118"/>
    <w:rsid w:val="00A944FF"/>
    <w:rsid w:val="00AE1DA2"/>
    <w:rsid w:val="00AE7E8A"/>
    <w:rsid w:val="00AF351D"/>
    <w:rsid w:val="00B90861"/>
    <w:rsid w:val="00B947CB"/>
    <w:rsid w:val="00BA1959"/>
    <w:rsid w:val="00BB29D6"/>
    <w:rsid w:val="00BE6EA4"/>
    <w:rsid w:val="00C02AED"/>
    <w:rsid w:val="00C24D0A"/>
    <w:rsid w:val="00C37B25"/>
    <w:rsid w:val="00C57C64"/>
    <w:rsid w:val="00C6494E"/>
    <w:rsid w:val="00C8235E"/>
    <w:rsid w:val="00C945D8"/>
    <w:rsid w:val="00CA2AA7"/>
    <w:rsid w:val="00CA69F7"/>
    <w:rsid w:val="00CC7DB4"/>
    <w:rsid w:val="00D42341"/>
    <w:rsid w:val="00D94010"/>
    <w:rsid w:val="00DD062D"/>
    <w:rsid w:val="00E130E8"/>
    <w:rsid w:val="00E31CE3"/>
    <w:rsid w:val="00E538B3"/>
    <w:rsid w:val="00E736B4"/>
    <w:rsid w:val="00E93F91"/>
    <w:rsid w:val="00EA7F0F"/>
    <w:rsid w:val="00ED00A3"/>
    <w:rsid w:val="00F35671"/>
    <w:rsid w:val="00F44ED2"/>
    <w:rsid w:val="00F46409"/>
    <w:rsid w:val="00F82A23"/>
    <w:rsid w:val="00F83270"/>
    <w:rsid w:val="00F8609D"/>
    <w:rsid w:val="00FA282D"/>
    <w:rsid w:val="00FD6956"/>
    <w:rsid w:val="00FE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37BE49"/>
  <w15:docId w15:val="{A13C8EF1-97D7-4BE0-A95D-761A2B2C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A68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00A6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A00A68"/>
    <w:pPr>
      <w:ind w:left="720"/>
    </w:pPr>
  </w:style>
  <w:style w:type="paragraph" w:styleId="a5">
    <w:name w:val="Balloon Text"/>
    <w:basedOn w:val="a"/>
    <w:link w:val="a6"/>
    <w:uiPriority w:val="99"/>
    <w:semiHidden/>
    <w:rsid w:val="00C57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C57C64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rsid w:val="006B5FCD"/>
    <w:rPr>
      <w:color w:val="0000FF"/>
      <w:u w:val="single"/>
    </w:rPr>
  </w:style>
  <w:style w:type="paragraph" w:styleId="a8">
    <w:name w:val="Body Text Indent"/>
    <w:basedOn w:val="a"/>
    <w:link w:val="a9"/>
    <w:uiPriority w:val="99"/>
    <w:rsid w:val="00AE7E8A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9">
    <w:name w:val="Основной текст с отступом Знак"/>
    <w:link w:val="a8"/>
    <w:uiPriority w:val="99"/>
    <w:locked/>
    <w:rsid w:val="00AE7E8A"/>
    <w:rPr>
      <w:rFonts w:eastAsia="Times New Roman"/>
      <w:sz w:val="28"/>
      <w:szCs w:val="28"/>
      <w:lang w:val="uk-UA" w:eastAsia="ru-RU"/>
    </w:rPr>
  </w:style>
  <w:style w:type="character" w:customStyle="1" w:styleId="aa">
    <w:name w:val="Основной текст_"/>
    <w:link w:val="3"/>
    <w:uiPriority w:val="99"/>
    <w:locked/>
    <w:rsid w:val="0041659D"/>
    <w:rPr>
      <w:spacing w:val="4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a"/>
    <w:uiPriority w:val="99"/>
    <w:rsid w:val="0041659D"/>
    <w:pPr>
      <w:widowControl w:val="0"/>
      <w:shd w:val="clear" w:color="auto" w:fill="FFFFFF"/>
      <w:spacing w:before="360" w:after="240" w:line="317" w:lineRule="exact"/>
      <w:jc w:val="both"/>
    </w:pPr>
    <w:rPr>
      <w:spacing w:val="4"/>
      <w:sz w:val="25"/>
      <w:szCs w:val="25"/>
      <w:shd w:val="clear" w:color="auto" w:fill="FFFFFF"/>
      <w:lang w:eastAsia="ru-RU"/>
    </w:rPr>
  </w:style>
  <w:style w:type="paragraph" w:styleId="ab">
    <w:name w:val="header"/>
    <w:basedOn w:val="a"/>
    <w:link w:val="ac"/>
    <w:uiPriority w:val="99"/>
    <w:unhideWhenUsed/>
    <w:rsid w:val="008F2D7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8F2D7D"/>
    <w:rPr>
      <w:rFonts w:cs="Calibri"/>
      <w:lang w:eastAsia="en-US"/>
    </w:rPr>
  </w:style>
  <w:style w:type="paragraph" w:styleId="ad">
    <w:name w:val="footer"/>
    <w:basedOn w:val="a"/>
    <w:link w:val="ae"/>
    <w:uiPriority w:val="99"/>
    <w:unhideWhenUsed/>
    <w:rsid w:val="008F2D7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8F2D7D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sale/info/elektronni-majdanchiki-ets-prozorroprodazhi-cbd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pfv.10@gmail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prozorro.sale/info/elektronni-majdanchiki-ets-prozorroprodazhi-cbd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pfv.10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7</Pages>
  <Words>1515</Words>
  <Characters>8639</Characters>
  <Application>Microsoft Office Word</Application>
  <DocSecurity>0</DocSecurity>
  <Lines>71</Lines>
  <Paragraphs>20</Paragraphs>
  <ScaleCrop>false</ScaleCrop>
  <Company>GreenHouse</Company>
  <LinksUpToDate>false</LinksUpToDate>
  <CharactersWithSpaces>10134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Питання, що розглядаються на засіданні аукціонної комісії</dc:title>
  <dc:subject/>
  <dc:creator>Ромашка</dc:creator>
  <cp:keywords/>
  <dc:description/>
  <cp:lastModifiedBy>Оля</cp:lastModifiedBy>
  <cp:revision>44</cp:revision>
  <cp:lastPrinted>2018-12-27T09:38:00Z</cp:lastPrinted>
  <dcterms:created xsi:type="dcterms:W3CDTF">2019-04-09T13:43:00Z</dcterms:created>
  <dcterms:modified xsi:type="dcterms:W3CDTF">2019-05-15T12:23:00Z</dcterms:modified>
</cp:coreProperties>
</file>