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65A" w:rsidRPr="00773253" w:rsidRDefault="00B3065A" w:rsidP="00773253">
      <w:pPr>
        <w:jc w:val="center"/>
        <w:outlineLvl w:val="0"/>
        <w:rPr>
          <w:sz w:val="36"/>
          <w:szCs w:val="36"/>
          <w:lang w:val="en-GB"/>
        </w:rPr>
      </w:pPr>
      <w:r w:rsidRPr="00773253">
        <w:rPr>
          <w:b/>
          <w:bCs/>
          <w:sz w:val="36"/>
          <w:szCs w:val="36"/>
          <w:lang w:val="en-GB"/>
        </w:rPr>
        <w:t>Invitation for Bids</w:t>
      </w:r>
    </w:p>
    <w:p w:rsidR="00B3065A" w:rsidRPr="00773253" w:rsidRDefault="00B3065A" w:rsidP="00773253">
      <w:pPr>
        <w:jc w:val="both"/>
        <w:outlineLvl w:val="0"/>
        <w:rPr>
          <w:lang w:val="en-GB"/>
        </w:rPr>
      </w:pPr>
      <w:r w:rsidRPr="00773253">
        <w:rPr>
          <w:b/>
          <w:bCs/>
          <w:lang w:val="en-GB"/>
        </w:rPr>
        <w:t>Ukraine</w:t>
      </w:r>
    </w:p>
    <w:p w:rsidR="00B3065A" w:rsidRPr="00773253" w:rsidRDefault="00B3065A" w:rsidP="00773253">
      <w:pPr>
        <w:jc w:val="both"/>
        <w:outlineLvl w:val="0"/>
        <w:rPr>
          <w:lang w:val="en-GB"/>
        </w:rPr>
      </w:pPr>
      <w:r w:rsidRPr="00773253">
        <w:rPr>
          <w:b/>
          <w:bCs/>
          <w:lang w:val="en-GB"/>
        </w:rPr>
        <w:t>Ukraine District Heating Energy Efficiency Project</w:t>
      </w:r>
      <w:r w:rsidR="00773253">
        <w:rPr>
          <w:b/>
          <w:bCs/>
          <w:lang w:val="en-GB"/>
        </w:rPr>
        <w:t xml:space="preserve"> </w:t>
      </w:r>
      <w:r w:rsidRPr="00773253">
        <w:rPr>
          <w:b/>
          <w:bCs/>
          <w:lang w:val="en-GB"/>
        </w:rPr>
        <w:t>(</w:t>
      </w:r>
      <w:proofErr w:type="spellStart"/>
      <w:r w:rsidRPr="00773253">
        <w:rPr>
          <w:b/>
          <w:bCs/>
          <w:lang w:val="en-GB"/>
        </w:rPr>
        <w:t>UDHEEP</w:t>
      </w:r>
      <w:proofErr w:type="spellEnd"/>
      <w:r w:rsidRPr="00773253">
        <w:rPr>
          <w:b/>
          <w:bCs/>
          <w:lang w:val="en-GB"/>
        </w:rPr>
        <w:t>)</w:t>
      </w:r>
    </w:p>
    <w:p w:rsidR="00B3065A" w:rsidRPr="00773253" w:rsidRDefault="00B3065A" w:rsidP="00773253">
      <w:pPr>
        <w:jc w:val="both"/>
        <w:outlineLvl w:val="0"/>
        <w:rPr>
          <w:lang w:val="en-GB"/>
        </w:rPr>
      </w:pPr>
      <w:r w:rsidRPr="00773253">
        <w:rPr>
          <w:b/>
          <w:bCs/>
          <w:lang w:val="en-GB"/>
        </w:rPr>
        <w:t>Loan No</w:t>
      </w:r>
      <w:proofErr w:type="gramStart"/>
      <w:r w:rsidRPr="00773253">
        <w:rPr>
          <w:b/>
          <w:bCs/>
          <w:lang w:val="en-GB"/>
        </w:rPr>
        <w:t>./</w:t>
      </w:r>
      <w:proofErr w:type="gramEnd"/>
      <w:r w:rsidRPr="00773253">
        <w:rPr>
          <w:b/>
          <w:bCs/>
          <w:lang w:val="en-GB"/>
        </w:rPr>
        <w:t>Credit No./ Grant No.:</w:t>
      </w:r>
      <w:r w:rsidR="00773253">
        <w:rPr>
          <w:lang w:val="en-GB"/>
        </w:rPr>
        <w:t> </w:t>
      </w:r>
      <w:r w:rsidRPr="00773253">
        <w:rPr>
          <w:u w:val="single"/>
          <w:lang w:val="en-GB"/>
        </w:rPr>
        <w:t>8387-UA</w:t>
      </w:r>
    </w:p>
    <w:p w:rsidR="00B3065A" w:rsidRPr="00773253" w:rsidRDefault="00B3065A" w:rsidP="00B3065A">
      <w:pPr>
        <w:jc w:val="both"/>
        <w:rPr>
          <w:lang w:val="en-GB"/>
        </w:rPr>
      </w:pPr>
      <w:r w:rsidRPr="00773253">
        <w:rPr>
          <w:b/>
          <w:bCs/>
          <w:lang w:val="en-GB"/>
        </w:rPr>
        <w:t>Contract Title: </w:t>
      </w:r>
      <w:r w:rsidRPr="00773253">
        <w:rPr>
          <w:u w:val="single"/>
          <w:lang w:val="en-GB"/>
        </w:rPr>
        <w:t>First Stage of Reconstruction of Heating Networks in the City of</w:t>
      </w:r>
      <w:r w:rsidR="00773253">
        <w:rPr>
          <w:u w:val="single"/>
          <w:lang w:val="en-GB"/>
        </w:rPr>
        <w:t xml:space="preserve"> </w:t>
      </w:r>
      <w:proofErr w:type="spellStart"/>
      <w:r w:rsidRPr="00773253">
        <w:rPr>
          <w:u w:val="single"/>
          <w:lang w:val="en-GB"/>
        </w:rPr>
        <w:t>Kharkiv</w:t>
      </w:r>
      <w:proofErr w:type="spellEnd"/>
    </w:p>
    <w:p w:rsidR="00B3065A" w:rsidRPr="00773253" w:rsidRDefault="00B3065A" w:rsidP="00B3065A">
      <w:pPr>
        <w:jc w:val="both"/>
        <w:rPr>
          <w:lang w:val="en-GB"/>
        </w:rPr>
      </w:pPr>
      <w:r w:rsidRPr="00773253">
        <w:rPr>
          <w:b/>
          <w:bCs/>
          <w:lang w:val="en-GB"/>
        </w:rPr>
        <w:t>Reference No</w:t>
      </w:r>
      <w:r w:rsidRPr="00773253">
        <w:rPr>
          <w:lang w:val="en-GB"/>
        </w:rPr>
        <w:t>. (</w:t>
      </w:r>
      <w:proofErr w:type="gramStart"/>
      <w:r w:rsidRPr="00773253">
        <w:rPr>
          <w:lang w:val="en-GB"/>
        </w:rPr>
        <w:t>as</w:t>
      </w:r>
      <w:proofErr w:type="gramEnd"/>
      <w:r w:rsidRPr="00773253">
        <w:rPr>
          <w:lang w:val="en-GB"/>
        </w:rPr>
        <w:t xml:space="preserve"> per Procurement Plan): </w:t>
      </w:r>
      <w:r w:rsidRPr="00773253">
        <w:rPr>
          <w:u w:val="single"/>
          <w:lang w:val="en-GB"/>
        </w:rPr>
        <w:t>UDHEEP-KHTM-ICB-13</w:t>
      </w:r>
    </w:p>
    <w:p w:rsidR="00B3065A" w:rsidRPr="00773253" w:rsidRDefault="00B3065A" w:rsidP="00B3065A">
      <w:pPr>
        <w:jc w:val="both"/>
        <w:rPr>
          <w:lang w:val="en-GB"/>
        </w:rPr>
      </w:pPr>
    </w:p>
    <w:p w:rsidR="00B3065A" w:rsidRPr="00773253" w:rsidRDefault="00B3065A" w:rsidP="00773253">
      <w:pPr>
        <w:jc w:val="both"/>
        <w:rPr>
          <w:lang w:val="en-GB"/>
        </w:rPr>
      </w:pPr>
      <w:r w:rsidRPr="00773253">
        <w:rPr>
          <w:lang w:val="en-GB"/>
        </w:rPr>
        <w:t>This Invitation for Bids follows the General Procurement Notice (</w:t>
      </w:r>
      <w:proofErr w:type="spellStart"/>
      <w:r w:rsidRPr="00773253">
        <w:rPr>
          <w:lang w:val="en-GB"/>
        </w:rPr>
        <w:t>GPN</w:t>
      </w:r>
      <w:proofErr w:type="spellEnd"/>
      <w:r w:rsidRPr="00773253">
        <w:rPr>
          <w:lang w:val="en-GB"/>
        </w:rPr>
        <w:t>) for this Project that appeared in UN Development Business issue of September 8, 2014.</w:t>
      </w:r>
    </w:p>
    <w:p w:rsidR="00B3065A" w:rsidRPr="00773253" w:rsidRDefault="00B3065A" w:rsidP="00773253">
      <w:pPr>
        <w:jc w:val="both"/>
        <w:rPr>
          <w:lang w:val="en-GB"/>
        </w:rPr>
      </w:pPr>
      <w:r w:rsidRPr="00773253">
        <w:rPr>
          <w:lang w:val="en-GB"/>
        </w:rPr>
        <w:t>Ukraine has received financing from the World Bank toward the cost of the District Heating Energy Efficiency Project (</w:t>
      </w:r>
      <w:proofErr w:type="spellStart"/>
      <w:r w:rsidRPr="00773253">
        <w:rPr>
          <w:lang w:val="en-GB"/>
        </w:rPr>
        <w:t>UDHEEP</w:t>
      </w:r>
      <w:proofErr w:type="spellEnd"/>
      <w:r w:rsidRPr="00773253">
        <w:rPr>
          <w:lang w:val="en-GB"/>
        </w:rPr>
        <w:t xml:space="preserve">) and intends to apply part of the proceeds toward payments under the contract UDHEEP-KHTM-ICB-13 for procurement of First Stage of Reconstruction of Heating Networks in the City of </w:t>
      </w:r>
      <w:proofErr w:type="spellStart"/>
      <w:r w:rsidRPr="00773253">
        <w:rPr>
          <w:lang w:val="en-GB"/>
        </w:rPr>
        <w:t>Kharkiv</w:t>
      </w:r>
      <w:proofErr w:type="spellEnd"/>
      <w:r w:rsidRPr="00773253">
        <w:rPr>
          <w:lang w:val="en-GB"/>
        </w:rPr>
        <w:t>. The intended construction period for the whole of the works shall be twenty one (21) months.</w:t>
      </w:r>
    </w:p>
    <w:p w:rsidR="00B3065A" w:rsidRPr="00773253" w:rsidRDefault="00B3065A" w:rsidP="00773253">
      <w:pPr>
        <w:jc w:val="both"/>
        <w:rPr>
          <w:lang w:val="en-GB"/>
        </w:rPr>
      </w:pPr>
      <w:r w:rsidRPr="00773253">
        <w:rPr>
          <w:lang w:val="en-GB"/>
        </w:rPr>
        <w:t>To</w:t>
      </w:r>
      <w:r w:rsidR="005F54DC" w:rsidRPr="00773253">
        <w:rPr>
          <w:lang w:val="en-GB"/>
        </w:rPr>
        <w:t xml:space="preserve"> </w:t>
      </w:r>
      <w:r w:rsidRPr="00773253">
        <w:rPr>
          <w:lang w:val="en-GB"/>
        </w:rPr>
        <w:t>qualify for awards of the Contract, bidder shall meet the following minimum qualification criteria:</w:t>
      </w:r>
    </w:p>
    <w:p w:rsidR="00B3065A" w:rsidRPr="00773253" w:rsidRDefault="00B3065A" w:rsidP="00773253">
      <w:pPr>
        <w:jc w:val="both"/>
        <w:rPr>
          <w:lang w:val="en-GB"/>
        </w:rPr>
      </w:pPr>
      <w:r w:rsidRPr="00773253">
        <w:rPr>
          <w:lang w:val="en-GB"/>
        </w:rPr>
        <w:t>a) No history of contract non-performance a result of contractor</w:t>
      </w:r>
      <w:r w:rsidR="005F54DC" w:rsidRPr="00773253">
        <w:rPr>
          <w:lang w:val="en-GB"/>
        </w:rPr>
        <w:t xml:space="preserve"> </w:t>
      </w:r>
      <w:r w:rsidRPr="00773253">
        <w:rPr>
          <w:lang w:val="en-GB"/>
        </w:rPr>
        <w:t>default since </w:t>
      </w:r>
      <w:r w:rsidRPr="00773253">
        <w:rPr>
          <w:u w:val="single"/>
          <w:lang w:val="en-GB"/>
        </w:rPr>
        <w:t>1</w:t>
      </w:r>
      <w:r w:rsidRPr="00773253">
        <w:rPr>
          <w:u w:val="single"/>
          <w:vertAlign w:val="superscript"/>
          <w:lang w:val="en-GB"/>
        </w:rPr>
        <w:t>st</w:t>
      </w:r>
      <w:r w:rsidRPr="00773253">
        <w:rPr>
          <w:u w:val="single"/>
          <w:lang w:val="en-GB"/>
        </w:rPr>
        <w:t> January, 2014</w:t>
      </w:r>
      <w:r w:rsidRPr="00773253">
        <w:rPr>
          <w:lang w:val="en-GB"/>
        </w:rPr>
        <w:t>;</w:t>
      </w:r>
    </w:p>
    <w:p w:rsidR="00B3065A" w:rsidRPr="00773253" w:rsidRDefault="00B3065A" w:rsidP="00773253">
      <w:pPr>
        <w:jc w:val="both"/>
        <w:rPr>
          <w:lang w:val="en-GB"/>
        </w:rPr>
      </w:pPr>
      <w:r w:rsidRPr="00773253">
        <w:rPr>
          <w:lang w:val="en-GB"/>
        </w:rPr>
        <w:t>b) No consistent history of court/arbitral award decisions against the</w:t>
      </w:r>
      <w:r w:rsidR="005F54DC" w:rsidRPr="00773253">
        <w:rPr>
          <w:lang w:val="en-GB"/>
        </w:rPr>
        <w:t xml:space="preserve"> </w:t>
      </w:r>
      <w:r w:rsidRPr="00773253">
        <w:rPr>
          <w:lang w:val="en-GB"/>
        </w:rPr>
        <w:t>Bidder since </w:t>
      </w:r>
      <w:r w:rsidRPr="00773253">
        <w:rPr>
          <w:u w:val="single"/>
          <w:lang w:val="en-GB"/>
        </w:rPr>
        <w:t>1st January 2014.</w:t>
      </w:r>
      <w:r w:rsidRPr="00773253">
        <w:rPr>
          <w:lang w:val="en-GB"/>
        </w:rPr>
        <w:t> To this end, the Bidder shall provide accurate information on the letter of Bid about any</w:t>
      </w:r>
      <w:r w:rsidR="005F54DC" w:rsidRPr="00773253">
        <w:rPr>
          <w:lang w:val="en-GB"/>
        </w:rPr>
        <w:t xml:space="preserve"> </w:t>
      </w:r>
      <w:r w:rsidRPr="00773253">
        <w:rPr>
          <w:lang w:val="en-GB"/>
        </w:rPr>
        <w:t>litigation or arbitration resulting from contracts completed or ongoing under its execution over the last three years. A consistent</w:t>
      </w:r>
      <w:r w:rsidR="003F58F9" w:rsidRPr="00773253">
        <w:rPr>
          <w:lang w:val="en-GB"/>
        </w:rPr>
        <w:t xml:space="preserve"> </w:t>
      </w:r>
      <w:r w:rsidRPr="00773253">
        <w:rPr>
          <w:lang w:val="en-GB"/>
        </w:rPr>
        <w:t>history of court/arbitral awards against the Bidder or any member of a joint venture may result in disqualifying the Bidder;</w:t>
      </w:r>
    </w:p>
    <w:p w:rsidR="00B3065A" w:rsidRPr="00773253" w:rsidRDefault="00773253" w:rsidP="00773253">
      <w:pPr>
        <w:jc w:val="both"/>
        <w:rPr>
          <w:lang w:val="en-GB"/>
        </w:rPr>
      </w:pPr>
      <w:r w:rsidRPr="00773253">
        <w:rPr>
          <w:lang w:val="en-GB"/>
        </w:rPr>
        <w:t>с</w:t>
      </w:r>
      <w:r w:rsidR="00B3065A" w:rsidRPr="00773253">
        <w:rPr>
          <w:lang w:val="en-GB"/>
        </w:rPr>
        <w:t>) Experience under construction</w:t>
      </w:r>
      <w:r w:rsidR="003F58F9" w:rsidRPr="00773253">
        <w:rPr>
          <w:lang w:val="en-GB"/>
        </w:rPr>
        <w:t xml:space="preserve"> </w:t>
      </w:r>
      <w:r w:rsidR="00B3065A" w:rsidRPr="00773253">
        <w:rPr>
          <w:lang w:val="en-GB"/>
        </w:rPr>
        <w:t>contracts in the role of prime contractor, JV member, sub-contractor, or management contractor for at least the last 6 (six) years,</w:t>
      </w:r>
      <w:r>
        <w:rPr>
          <w:lang w:val="en-GB"/>
        </w:rPr>
        <w:t xml:space="preserve"> </w:t>
      </w:r>
      <w:r w:rsidR="00B3065A" w:rsidRPr="00773253">
        <w:rPr>
          <w:lang w:val="en-GB"/>
        </w:rPr>
        <w:t>starting </w:t>
      </w:r>
      <w:r w:rsidR="00B3065A" w:rsidRPr="00773253">
        <w:rPr>
          <w:u w:val="single"/>
          <w:lang w:val="en-GB"/>
        </w:rPr>
        <w:t>1st January 2011;</w:t>
      </w:r>
    </w:p>
    <w:p w:rsidR="003F58F9" w:rsidRPr="00773253" w:rsidRDefault="00773253" w:rsidP="00773253">
      <w:pPr>
        <w:jc w:val="both"/>
        <w:rPr>
          <w:lang w:val="en-GB"/>
        </w:rPr>
      </w:pPr>
      <w:r w:rsidRPr="00773253">
        <w:rPr>
          <w:lang w:val="en-GB"/>
        </w:rPr>
        <w:t>d</w:t>
      </w:r>
      <w:r w:rsidR="00B3065A" w:rsidRPr="00773253">
        <w:rPr>
          <w:lang w:val="en-GB"/>
        </w:rPr>
        <w:t>) At least one (1) similar</w:t>
      </w:r>
      <w:proofErr w:type="gramStart"/>
      <w:r w:rsidR="00B3065A" w:rsidRPr="00773253">
        <w:rPr>
          <w:lang w:val="en-GB"/>
        </w:rPr>
        <w:t>  contract</w:t>
      </w:r>
      <w:proofErr w:type="gramEnd"/>
      <w:r w:rsidR="00B3065A" w:rsidRPr="00773253">
        <w:rPr>
          <w:lang w:val="en-GB"/>
        </w:rPr>
        <w:t xml:space="preserve"> of minimum value </w:t>
      </w:r>
      <w:r w:rsidR="00B3065A" w:rsidRPr="00773253">
        <w:rPr>
          <w:u w:val="single"/>
          <w:lang w:val="en-GB"/>
        </w:rPr>
        <w:t>USD 4 200 000 or 2(two) contracts of minimum value of USD $3 000 000,00</w:t>
      </w:r>
      <w:r w:rsidR="00B3065A" w:rsidRPr="00773253">
        <w:rPr>
          <w:lang w:val="en-GB"/>
        </w:rPr>
        <w:t>, that have been satisfactorily and substantially  </w:t>
      </w:r>
    </w:p>
    <w:p w:rsidR="00B3065A" w:rsidRPr="00773253" w:rsidRDefault="00773253" w:rsidP="00773253">
      <w:pPr>
        <w:jc w:val="both"/>
        <w:rPr>
          <w:lang w:val="en-GB"/>
        </w:rPr>
      </w:pPr>
      <w:r w:rsidRPr="00773253">
        <w:rPr>
          <w:lang w:val="en-GB"/>
        </w:rPr>
        <w:t>e</w:t>
      </w:r>
      <w:r w:rsidR="003F58F9" w:rsidRPr="00773253">
        <w:rPr>
          <w:lang w:val="en-GB"/>
        </w:rPr>
        <w:t>) </w:t>
      </w:r>
      <w:r w:rsidR="00B3065A" w:rsidRPr="00773253">
        <w:rPr>
          <w:lang w:val="en-GB"/>
        </w:rPr>
        <w:t>The Bidder must demonstrate that it will have the personnel for the key</w:t>
      </w:r>
      <w:r>
        <w:rPr>
          <w:lang w:val="en-GB"/>
        </w:rPr>
        <w:t xml:space="preserve"> </w:t>
      </w:r>
      <w:r w:rsidR="00B3065A" w:rsidRPr="00773253">
        <w:rPr>
          <w:lang w:val="en-GB"/>
        </w:rPr>
        <w:t>positions that meet the following requirements:</w:t>
      </w:r>
    </w:p>
    <w:tbl>
      <w:tblPr>
        <w:tblW w:w="0" w:type="auto"/>
        <w:jc w:val="center"/>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CCF"/>
        <w:tblCellMar>
          <w:left w:w="0" w:type="dxa"/>
          <w:right w:w="0" w:type="dxa"/>
        </w:tblCellMar>
        <w:tblLook w:val="04A0"/>
      </w:tblPr>
      <w:tblGrid>
        <w:gridCol w:w="719"/>
        <w:gridCol w:w="3406"/>
        <w:gridCol w:w="1853"/>
        <w:gridCol w:w="2947"/>
      </w:tblGrid>
      <w:tr w:rsidR="00B3065A" w:rsidRPr="00773253" w:rsidTr="00773253">
        <w:trPr>
          <w:jc w:val="center"/>
        </w:trPr>
        <w:tc>
          <w:tcPr>
            <w:tcW w:w="719"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b/>
                <w:bCs/>
                <w:lang w:val="en-GB"/>
              </w:rPr>
              <w:t>No.</w:t>
            </w:r>
          </w:p>
        </w:tc>
        <w:tc>
          <w:tcPr>
            <w:tcW w:w="3406"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b/>
                <w:bCs/>
                <w:lang w:val="en-GB"/>
              </w:rPr>
              <w:t>Position</w:t>
            </w:r>
          </w:p>
        </w:tc>
        <w:tc>
          <w:tcPr>
            <w:tcW w:w="1853"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b/>
                <w:bCs/>
                <w:lang w:val="en-GB"/>
              </w:rPr>
              <w:t>Total Work Similar</w:t>
            </w:r>
          </w:p>
          <w:p w:rsidR="00B3065A" w:rsidRPr="00773253" w:rsidRDefault="00B3065A" w:rsidP="00B3065A">
            <w:pPr>
              <w:jc w:val="both"/>
              <w:rPr>
                <w:lang w:val="en-GB"/>
              </w:rPr>
            </w:pPr>
            <w:r w:rsidRPr="00773253">
              <w:rPr>
                <w:b/>
                <w:bCs/>
                <w:lang w:val="en-GB"/>
              </w:rPr>
              <w:t>Experience (years)</w:t>
            </w:r>
          </w:p>
        </w:tc>
        <w:tc>
          <w:tcPr>
            <w:tcW w:w="2947"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b/>
                <w:bCs/>
                <w:lang w:val="en-GB"/>
              </w:rPr>
              <w:t>In Similar Works</w:t>
            </w:r>
            <w:r w:rsidR="00773253" w:rsidRPr="00773253">
              <w:rPr>
                <w:b/>
                <w:bCs/>
                <w:lang w:val="en-GB"/>
              </w:rPr>
              <w:t xml:space="preserve"> </w:t>
            </w:r>
            <w:r w:rsidRPr="00773253">
              <w:rPr>
                <w:b/>
                <w:bCs/>
                <w:lang w:val="en-GB"/>
              </w:rPr>
              <w:t>Experience</w:t>
            </w:r>
            <w:r w:rsidR="00773253" w:rsidRPr="00773253">
              <w:rPr>
                <w:b/>
                <w:bCs/>
                <w:lang w:val="en-GB"/>
              </w:rPr>
              <w:t xml:space="preserve"> </w:t>
            </w:r>
            <w:r w:rsidRPr="00773253">
              <w:rPr>
                <w:b/>
                <w:bCs/>
                <w:lang w:val="en-GB"/>
              </w:rPr>
              <w:t>(years)</w:t>
            </w:r>
          </w:p>
        </w:tc>
      </w:tr>
      <w:tr w:rsidR="00B3065A" w:rsidRPr="00773253" w:rsidTr="00773253">
        <w:trPr>
          <w:jc w:val="center"/>
        </w:trPr>
        <w:tc>
          <w:tcPr>
            <w:tcW w:w="719"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1</w:t>
            </w:r>
          </w:p>
        </w:tc>
        <w:tc>
          <w:tcPr>
            <w:tcW w:w="3406"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Contract Manager</w:t>
            </w:r>
          </w:p>
        </w:tc>
        <w:tc>
          <w:tcPr>
            <w:tcW w:w="1853"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Ten(10)</w:t>
            </w:r>
          </w:p>
        </w:tc>
        <w:tc>
          <w:tcPr>
            <w:tcW w:w="2947"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Three (3)</w:t>
            </w:r>
          </w:p>
        </w:tc>
      </w:tr>
      <w:tr w:rsidR="00B3065A" w:rsidRPr="00773253" w:rsidTr="00773253">
        <w:trPr>
          <w:jc w:val="center"/>
        </w:trPr>
        <w:tc>
          <w:tcPr>
            <w:tcW w:w="719"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2</w:t>
            </w:r>
          </w:p>
        </w:tc>
        <w:tc>
          <w:tcPr>
            <w:tcW w:w="3406"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General Foreman</w:t>
            </w:r>
          </w:p>
        </w:tc>
        <w:tc>
          <w:tcPr>
            <w:tcW w:w="1853"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Five (5)</w:t>
            </w:r>
          </w:p>
        </w:tc>
        <w:tc>
          <w:tcPr>
            <w:tcW w:w="2947"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Three (3)</w:t>
            </w:r>
          </w:p>
        </w:tc>
      </w:tr>
      <w:tr w:rsidR="00B3065A" w:rsidRPr="00773253" w:rsidTr="00773253">
        <w:trPr>
          <w:jc w:val="center"/>
        </w:trPr>
        <w:tc>
          <w:tcPr>
            <w:tcW w:w="719"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3</w:t>
            </w:r>
          </w:p>
        </w:tc>
        <w:tc>
          <w:tcPr>
            <w:tcW w:w="3406"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Occupational Safety Engineer</w:t>
            </w:r>
          </w:p>
        </w:tc>
        <w:tc>
          <w:tcPr>
            <w:tcW w:w="1853"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Five (5)</w:t>
            </w:r>
          </w:p>
        </w:tc>
        <w:tc>
          <w:tcPr>
            <w:tcW w:w="2947"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Three (3)</w:t>
            </w:r>
          </w:p>
        </w:tc>
      </w:tr>
    </w:tbl>
    <w:p w:rsidR="00B3065A" w:rsidRPr="00773253" w:rsidRDefault="00B3065A" w:rsidP="00B3065A">
      <w:pPr>
        <w:jc w:val="both"/>
        <w:rPr>
          <w:lang w:val="en-GB"/>
        </w:rPr>
      </w:pPr>
      <w:r w:rsidRPr="00773253">
        <w:rPr>
          <w:lang w:val="en-GB"/>
        </w:rPr>
        <w:t>Brief CVs and/or employment records shall be provided for each and every</w:t>
      </w:r>
      <w:r w:rsidR="00773253">
        <w:rPr>
          <w:lang w:val="en-GB"/>
        </w:rPr>
        <w:t xml:space="preserve"> </w:t>
      </w:r>
      <w:r w:rsidRPr="00773253">
        <w:rPr>
          <w:lang w:val="en-GB"/>
        </w:rPr>
        <w:t>proposed staff to confirm compliance with this requirement.</w:t>
      </w:r>
    </w:p>
    <w:p w:rsidR="00B3065A" w:rsidRPr="00773253" w:rsidRDefault="00B3065A" w:rsidP="00B3065A">
      <w:pPr>
        <w:jc w:val="both"/>
        <w:rPr>
          <w:lang w:val="en-GB"/>
        </w:rPr>
      </w:pPr>
      <w:r w:rsidRPr="00773253">
        <w:rPr>
          <w:lang w:val="en-GB"/>
        </w:rPr>
        <w:lastRenderedPageBreak/>
        <w:t> </w:t>
      </w:r>
    </w:p>
    <w:p w:rsidR="00B3065A" w:rsidRPr="00773253" w:rsidRDefault="00773253" w:rsidP="00B3065A">
      <w:pPr>
        <w:jc w:val="both"/>
        <w:rPr>
          <w:lang w:val="en-GB"/>
        </w:rPr>
      </w:pPr>
      <w:r w:rsidRPr="00773253">
        <w:rPr>
          <w:lang w:val="en-GB"/>
        </w:rPr>
        <w:t>f</w:t>
      </w:r>
      <w:r w:rsidR="00B3065A" w:rsidRPr="00773253">
        <w:rPr>
          <w:lang w:val="en-GB"/>
        </w:rPr>
        <w:t>) Demonstrated access (for buy, lease, hire, etc) to the key Contractor's equipment listed hereafter:</w:t>
      </w:r>
    </w:p>
    <w:tbl>
      <w:tblPr>
        <w:tblW w:w="0" w:type="auto"/>
        <w:jc w:val="center"/>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CCF"/>
        <w:tblCellMar>
          <w:left w:w="0" w:type="dxa"/>
          <w:right w:w="0" w:type="dxa"/>
        </w:tblCellMar>
        <w:tblLook w:val="04A0"/>
      </w:tblPr>
      <w:tblGrid>
        <w:gridCol w:w="570"/>
        <w:gridCol w:w="6523"/>
        <w:gridCol w:w="1974"/>
      </w:tblGrid>
      <w:tr w:rsidR="00B3065A" w:rsidRPr="00773253" w:rsidTr="00773253">
        <w:trPr>
          <w:jc w:val="center"/>
        </w:trPr>
        <w:tc>
          <w:tcPr>
            <w:tcW w:w="570"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b/>
                <w:bCs/>
                <w:lang w:val="en-GB"/>
              </w:rPr>
              <w:t>No.</w:t>
            </w:r>
          </w:p>
        </w:tc>
        <w:tc>
          <w:tcPr>
            <w:tcW w:w="6523"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b/>
                <w:bCs/>
                <w:lang w:val="en-GB"/>
              </w:rPr>
              <w:t>Equipment Type and Characteristics</w:t>
            </w:r>
          </w:p>
        </w:tc>
        <w:tc>
          <w:tcPr>
            <w:tcW w:w="1974"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b/>
                <w:bCs/>
                <w:lang w:val="en-GB"/>
              </w:rPr>
              <w:t>Minimum Number</w:t>
            </w:r>
            <w:r w:rsidR="00773253">
              <w:rPr>
                <w:b/>
                <w:bCs/>
                <w:lang w:val="en-GB"/>
              </w:rPr>
              <w:t xml:space="preserve"> </w:t>
            </w:r>
            <w:r w:rsidRPr="00773253">
              <w:rPr>
                <w:b/>
                <w:bCs/>
                <w:lang w:val="en-GB"/>
              </w:rPr>
              <w:t>required</w:t>
            </w:r>
          </w:p>
        </w:tc>
      </w:tr>
      <w:tr w:rsidR="00B3065A" w:rsidRPr="00773253" w:rsidTr="00773253">
        <w:trPr>
          <w:jc w:val="center"/>
        </w:trPr>
        <w:tc>
          <w:tcPr>
            <w:tcW w:w="570"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1</w:t>
            </w:r>
          </w:p>
        </w:tc>
        <w:tc>
          <w:tcPr>
            <w:tcW w:w="6523"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Truck cranes with the load-carrying capacity to 20t</w:t>
            </w:r>
          </w:p>
        </w:tc>
        <w:tc>
          <w:tcPr>
            <w:tcW w:w="1974"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1 (one)</w:t>
            </w:r>
          </w:p>
        </w:tc>
      </w:tr>
      <w:tr w:rsidR="00B3065A" w:rsidRPr="00773253" w:rsidTr="00773253">
        <w:trPr>
          <w:jc w:val="center"/>
        </w:trPr>
        <w:tc>
          <w:tcPr>
            <w:tcW w:w="570"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2</w:t>
            </w:r>
          </w:p>
        </w:tc>
        <w:tc>
          <w:tcPr>
            <w:tcW w:w="6523"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Bulldozer with a minimum capacity of 59 kW</w:t>
            </w:r>
          </w:p>
        </w:tc>
        <w:tc>
          <w:tcPr>
            <w:tcW w:w="1974"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1 (one)</w:t>
            </w:r>
          </w:p>
        </w:tc>
      </w:tr>
      <w:tr w:rsidR="00B3065A" w:rsidRPr="00773253" w:rsidTr="00773253">
        <w:trPr>
          <w:jc w:val="center"/>
        </w:trPr>
        <w:tc>
          <w:tcPr>
            <w:tcW w:w="570"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3</w:t>
            </w:r>
          </w:p>
        </w:tc>
        <w:tc>
          <w:tcPr>
            <w:tcW w:w="6523"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Excavators with a digger capacity 0,6-0,8m3</w:t>
            </w:r>
          </w:p>
        </w:tc>
        <w:tc>
          <w:tcPr>
            <w:tcW w:w="1974"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1 (one)</w:t>
            </w:r>
          </w:p>
        </w:tc>
      </w:tr>
      <w:tr w:rsidR="00B3065A" w:rsidRPr="00773253" w:rsidTr="00773253">
        <w:trPr>
          <w:jc w:val="center"/>
        </w:trPr>
        <w:tc>
          <w:tcPr>
            <w:tcW w:w="570"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4</w:t>
            </w:r>
          </w:p>
        </w:tc>
        <w:tc>
          <w:tcPr>
            <w:tcW w:w="6523"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Dumping trucks with the load-carrying capacity not less than 20t</w:t>
            </w:r>
          </w:p>
        </w:tc>
        <w:tc>
          <w:tcPr>
            <w:tcW w:w="1974"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1 (one)</w:t>
            </w:r>
          </w:p>
        </w:tc>
      </w:tr>
      <w:tr w:rsidR="00B3065A" w:rsidRPr="00773253" w:rsidTr="00773253">
        <w:trPr>
          <w:jc w:val="center"/>
        </w:trPr>
        <w:tc>
          <w:tcPr>
            <w:tcW w:w="570"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5</w:t>
            </w:r>
          </w:p>
        </w:tc>
        <w:tc>
          <w:tcPr>
            <w:tcW w:w="6523"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High-sided trucks with the load-carrying capacity not less than 10t</w:t>
            </w:r>
          </w:p>
        </w:tc>
        <w:tc>
          <w:tcPr>
            <w:tcW w:w="1974" w:type="dxa"/>
            <w:shd w:val="clear" w:color="auto" w:fill="auto"/>
            <w:tcMar>
              <w:top w:w="0" w:type="dxa"/>
              <w:left w:w="108" w:type="dxa"/>
              <w:bottom w:w="0" w:type="dxa"/>
              <w:right w:w="108" w:type="dxa"/>
            </w:tcMar>
            <w:vAlign w:val="bottom"/>
            <w:hideMark/>
          </w:tcPr>
          <w:p w:rsidR="00B3065A" w:rsidRPr="00773253" w:rsidRDefault="00B3065A" w:rsidP="00B3065A">
            <w:pPr>
              <w:jc w:val="both"/>
              <w:rPr>
                <w:lang w:val="en-GB"/>
              </w:rPr>
            </w:pPr>
            <w:r w:rsidRPr="00773253">
              <w:rPr>
                <w:lang w:val="en-GB"/>
              </w:rPr>
              <w:t>1 (one)</w:t>
            </w:r>
          </w:p>
        </w:tc>
      </w:tr>
    </w:tbl>
    <w:p w:rsidR="00B3065A" w:rsidRPr="00773253" w:rsidRDefault="00B3065A" w:rsidP="00B3065A">
      <w:pPr>
        <w:jc w:val="both"/>
        <w:rPr>
          <w:lang w:val="en-GB"/>
        </w:rPr>
      </w:pPr>
      <w:r w:rsidRPr="00773253">
        <w:rPr>
          <w:lang w:val="en-GB"/>
        </w:rPr>
        <w:t>A margin of preference for eligible national contractors/joint ventures shall not be applied.</w:t>
      </w:r>
    </w:p>
    <w:p w:rsidR="00B3065A" w:rsidRPr="00773253" w:rsidRDefault="00B3065A" w:rsidP="00B3065A">
      <w:pPr>
        <w:jc w:val="both"/>
        <w:rPr>
          <w:lang w:val="en-GB"/>
        </w:rPr>
      </w:pPr>
      <w:r w:rsidRPr="00773253">
        <w:rPr>
          <w:lang w:val="en-GB"/>
        </w:rPr>
        <w:t>Further details are provided in the bidding documents.</w:t>
      </w:r>
    </w:p>
    <w:p w:rsidR="00B3065A" w:rsidRPr="00773253" w:rsidRDefault="00B3065A" w:rsidP="00B3065A">
      <w:pPr>
        <w:jc w:val="both"/>
        <w:rPr>
          <w:lang w:val="en-GB"/>
        </w:rPr>
      </w:pPr>
      <w:r w:rsidRPr="00773253">
        <w:rPr>
          <w:lang w:val="en-GB"/>
        </w:rPr>
        <w:t xml:space="preserve">Bidding will be conducted through the International Competitive Bidding procedures as specified in the World Bank's Guidelines: Procurement of Goods, Works and Non-Consulting Services under </w:t>
      </w:r>
      <w:proofErr w:type="spellStart"/>
      <w:r w:rsidRPr="00773253">
        <w:rPr>
          <w:lang w:val="en-GB"/>
        </w:rPr>
        <w:t>IBRD</w:t>
      </w:r>
      <w:proofErr w:type="spellEnd"/>
      <w:r w:rsidRPr="00773253">
        <w:rPr>
          <w:lang w:val="en-GB"/>
        </w:rPr>
        <w:t xml:space="preserve"> Loans and IDA Credits &amp; Grants by World Bank Borrowers   and inspect the bidding documents during office hours from 9:00 to 15:00 at the address (1) given below.</w:t>
      </w:r>
    </w:p>
    <w:p w:rsidR="00B3065A" w:rsidRPr="00773253" w:rsidRDefault="00B3065A" w:rsidP="00B3065A">
      <w:pPr>
        <w:jc w:val="both"/>
        <w:rPr>
          <w:lang w:val="en-GB"/>
        </w:rPr>
      </w:pPr>
      <w:r w:rsidRPr="00773253">
        <w:rPr>
          <w:lang w:val="en-GB"/>
        </w:rPr>
        <w:t>The complete set of bidding documents in English may be obtained for free in electronic form by interested eligible bidders upon submission of a written application via confirmed email or in the hardcopy to the address (1</w:t>
      </w:r>
      <w:proofErr w:type="gramStart"/>
      <w:r w:rsidRPr="00773253">
        <w:rPr>
          <w:lang w:val="en-GB"/>
        </w:rPr>
        <w:t>)below</w:t>
      </w:r>
      <w:proofErr w:type="gramEnd"/>
      <w:r w:rsidRPr="00773253">
        <w:rPr>
          <w:lang w:val="en-GB"/>
        </w:rPr>
        <w:t>. The complete set of bidding documents will be sent to the e-mail indicated in the application.</w:t>
      </w:r>
    </w:p>
    <w:p w:rsidR="00B3065A" w:rsidRPr="00773253" w:rsidRDefault="00B3065A" w:rsidP="00B3065A">
      <w:pPr>
        <w:jc w:val="both"/>
        <w:rPr>
          <w:lang w:val="en-GB"/>
        </w:rPr>
      </w:pPr>
      <w:r w:rsidRPr="00773253">
        <w:rPr>
          <w:lang w:val="en-GB"/>
        </w:rPr>
        <w:t>Bids must be delivered to the address (1) given below before11:00 a.m. local time</w:t>
      </w:r>
      <w:r w:rsidRPr="00773253">
        <w:rPr>
          <w:lang w:val="en-GB"/>
        </w:rPr>
        <w:br/>
        <w:t>September 18, 2018. Electronic bidding will not be permitted. Late bids will be rejected. Bids will be publicly opened in the presence of the bidders' designated representatives and anyone who choose to attend at the address (2) below on 11:05 a.m. local time of September 18, 2018.</w:t>
      </w:r>
    </w:p>
    <w:p w:rsidR="00B3065A" w:rsidRPr="00773253" w:rsidRDefault="00B3065A" w:rsidP="00B3065A">
      <w:pPr>
        <w:jc w:val="both"/>
        <w:rPr>
          <w:lang w:val="en-GB"/>
        </w:rPr>
      </w:pPr>
      <w:r w:rsidRPr="00773253">
        <w:rPr>
          <w:lang w:val="en-GB"/>
        </w:rPr>
        <w:t xml:space="preserve">All bids must be accompanied by a Bid Security in the form of Bank Guarantee of at least </w:t>
      </w:r>
      <w:proofErr w:type="spellStart"/>
      <w:r w:rsidRPr="00773253">
        <w:rPr>
          <w:lang w:val="en-GB"/>
        </w:rPr>
        <w:t>UAH</w:t>
      </w:r>
      <w:proofErr w:type="spellEnd"/>
      <w:r w:rsidRPr="00773253">
        <w:rPr>
          <w:lang w:val="en-GB"/>
        </w:rPr>
        <w:t xml:space="preserve"> 3 000 000 (three millions Ukrainian </w:t>
      </w:r>
      <w:proofErr w:type="spellStart"/>
      <w:r w:rsidRPr="00773253">
        <w:rPr>
          <w:lang w:val="en-GB"/>
        </w:rPr>
        <w:t>hryvn</w:t>
      </w:r>
      <w:r w:rsidR="00773253">
        <w:rPr>
          <w:lang w:val="en-GB"/>
        </w:rPr>
        <w:t>i</w:t>
      </w:r>
      <w:r w:rsidRPr="00773253">
        <w:rPr>
          <w:lang w:val="en-GB"/>
        </w:rPr>
        <w:t>as</w:t>
      </w:r>
      <w:proofErr w:type="spellEnd"/>
      <w:r w:rsidRPr="00773253">
        <w:rPr>
          <w:lang w:val="en-GB"/>
        </w:rPr>
        <w:t>) or an equivalent amount in a freely convertible currency.</w:t>
      </w:r>
    </w:p>
    <w:p w:rsidR="00B3065A" w:rsidRPr="00773253" w:rsidRDefault="00B3065A" w:rsidP="00B3065A">
      <w:pPr>
        <w:jc w:val="both"/>
        <w:rPr>
          <w:lang w:val="en-GB"/>
        </w:rPr>
      </w:pPr>
      <w:r w:rsidRPr="00773253">
        <w:rPr>
          <w:lang w:val="en-GB"/>
        </w:rPr>
        <w:t>The addresses referred to above are:</w:t>
      </w:r>
    </w:p>
    <w:p w:rsidR="00B3065A" w:rsidRPr="00773253" w:rsidRDefault="00B3065A" w:rsidP="00773253">
      <w:pPr>
        <w:jc w:val="both"/>
        <w:outlineLvl w:val="0"/>
        <w:rPr>
          <w:lang w:val="en-GB"/>
        </w:rPr>
      </w:pPr>
      <w:r w:rsidRPr="00773253">
        <w:rPr>
          <w:b/>
          <w:bCs/>
          <w:lang w:val="en-GB"/>
        </w:rPr>
        <w:t>Address (1):</w:t>
      </w:r>
    </w:p>
    <w:p w:rsidR="00B3065A" w:rsidRPr="00773253" w:rsidRDefault="00B3065A" w:rsidP="00773253">
      <w:pPr>
        <w:jc w:val="both"/>
        <w:outlineLvl w:val="0"/>
        <w:rPr>
          <w:lang w:val="en-GB"/>
        </w:rPr>
      </w:pPr>
      <w:proofErr w:type="spellStart"/>
      <w:r w:rsidRPr="00773253">
        <w:rPr>
          <w:lang w:val="en-GB"/>
        </w:rPr>
        <w:t>PublicUtility</w:t>
      </w:r>
      <w:proofErr w:type="spellEnd"/>
      <w:r w:rsidRPr="00773253">
        <w:rPr>
          <w:lang w:val="en-GB"/>
        </w:rPr>
        <w:t xml:space="preserve"> "</w:t>
      </w:r>
      <w:proofErr w:type="spellStart"/>
      <w:r w:rsidRPr="00773253">
        <w:rPr>
          <w:lang w:val="en-GB"/>
        </w:rPr>
        <w:t>Kharkivski</w:t>
      </w:r>
      <w:proofErr w:type="spellEnd"/>
      <w:r w:rsidRPr="00773253">
        <w:rPr>
          <w:lang w:val="en-GB"/>
        </w:rPr>
        <w:t xml:space="preserve"> </w:t>
      </w:r>
      <w:proofErr w:type="spellStart"/>
      <w:r w:rsidRPr="00773253">
        <w:rPr>
          <w:lang w:val="en-GB"/>
        </w:rPr>
        <w:t>teplovi</w:t>
      </w:r>
      <w:proofErr w:type="spellEnd"/>
      <w:r w:rsidRPr="00773253">
        <w:rPr>
          <w:lang w:val="en-GB"/>
        </w:rPr>
        <w:t xml:space="preserve"> </w:t>
      </w:r>
      <w:proofErr w:type="spellStart"/>
      <w:r w:rsidRPr="00773253">
        <w:rPr>
          <w:lang w:val="en-GB"/>
        </w:rPr>
        <w:t>merezhi</w:t>
      </w:r>
      <w:proofErr w:type="spellEnd"/>
      <w:r w:rsidRPr="00773253">
        <w:rPr>
          <w:lang w:val="en-GB"/>
        </w:rPr>
        <w:t>"</w:t>
      </w:r>
    </w:p>
    <w:p w:rsidR="00B3065A" w:rsidRPr="00773253" w:rsidRDefault="00B3065A" w:rsidP="00B3065A">
      <w:pPr>
        <w:jc w:val="both"/>
        <w:rPr>
          <w:lang w:val="en-GB"/>
        </w:rPr>
      </w:pPr>
      <w:r w:rsidRPr="00773253">
        <w:rPr>
          <w:lang w:val="en-GB"/>
        </w:rPr>
        <w:t xml:space="preserve">Attention: Mr. Roman </w:t>
      </w:r>
      <w:proofErr w:type="spellStart"/>
      <w:r w:rsidRPr="00773253">
        <w:rPr>
          <w:lang w:val="en-GB"/>
        </w:rPr>
        <w:t>Zinchenko</w:t>
      </w:r>
      <w:proofErr w:type="spellEnd"/>
      <w:r w:rsidRPr="00773253">
        <w:rPr>
          <w:lang w:val="en-GB"/>
        </w:rPr>
        <w:t>, Head of Regional Project Implementation Unit</w:t>
      </w:r>
    </w:p>
    <w:p w:rsidR="00B3065A" w:rsidRPr="00773253" w:rsidRDefault="00B3065A" w:rsidP="00B3065A">
      <w:pPr>
        <w:jc w:val="both"/>
        <w:rPr>
          <w:lang w:val="en-GB"/>
        </w:rPr>
      </w:pPr>
      <w:r w:rsidRPr="00773253">
        <w:rPr>
          <w:lang w:val="en-GB"/>
        </w:rPr>
        <w:t xml:space="preserve">Address: 117-ch, </w:t>
      </w:r>
      <w:proofErr w:type="spellStart"/>
      <w:r w:rsidRPr="00773253">
        <w:rPr>
          <w:lang w:val="en-GB"/>
        </w:rPr>
        <w:t>Plekhanivska</w:t>
      </w:r>
      <w:proofErr w:type="spellEnd"/>
      <w:r w:rsidRPr="00773253">
        <w:rPr>
          <w:lang w:val="en-GB"/>
        </w:rPr>
        <w:t xml:space="preserve"> Street, Floor 4, Office 50</w:t>
      </w:r>
    </w:p>
    <w:p w:rsidR="00B3065A" w:rsidRPr="00773253" w:rsidRDefault="00B3065A" w:rsidP="00B3065A">
      <w:pPr>
        <w:jc w:val="both"/>
        <w:rPr>
          <w:lang w:val="en-GB"/>
        </w:rPr>
      </w:pPr>
      <w:r w:rsidRPr="00773253">
        <w:rPr>
          <w:lang w:val="en-GB"/>
        </w:rPr>
        <w:t xml:space="preserve">City: </w:t>
      </w:r>
      <w:proofErr w:type="spellStart"/>
      <w:r w:rsidRPr="00773253">
        <w:rPr>
          <w:lang w:val="en-GB"/>
        </w:rPr>
        <w:t>Kharkiv</w:t>
      </w:r>
      <w:proofErr w:type="spellEnd"/>
    </w:p>
    <w:p w:rsidR="00B3065A" w:rsidRPr="00773253" w:rsidRDefault="00B3065A" w:rsidP="00B3065A">
      <w:pPr>
        <w:jc w:val="both"/>
        <w:rPr>
          <w:lang w:val="en-GB"/>
        </w:rPr>
      </w:pPr>
      <w:r w:rsidRPr="00773253">
        <w:rPr>
          <w:lang w:val="en-GB"/>
        </w:rPr>
        <w:t>ZIP Code: 61037</w:t>
      </w:r>
    </w:p>
    <w:p w:rsidR="00B3065A" w:rsidRPr="00773253" w:rsidRDefault="00B3065A" w:rsidP="00B3065A">
      <w:pPr>
        <w:jc w:val="both"/>
        <w:rPr>
          <w:lang w:val="en-GB"/>
        </w:rPr>
      </w:pPr>
      <w:r w:rsidRPr="00773253">
        <w:rPr>
          <w:lang w:val="en-GB"/>
        </w:rPr>
        <w:t>Country: Ukraine</w:t>
      </w:r>
    </w:p>
    <w:p w:rsidR="00B3065A" w:rsidRPr="00773253" w:rsidRDefault="00B3065A" w:rsidP="00B3065A">
      <w:pPr>
        <w:jc w:val="both"/>
        <w:rPr>
          <w:lang w:val="en-GB"/>
        </w:rPr>
      </w:pPr>
      <w:r w:rsidRPr="00773253">
        <w:rPr>
          <w:lang w:val="en-GB"/>
        </w:rPr>
        <w:t>Tel.: +38 057 7585342</w:t>
      </w:r>
    </w:p>
    <w:p w:rsidR="00B3065A" w:rsidRPr="00773253" w:rsidRDefault="00B3065A" w:rsidP="00B3065A">
      <w:pPr>
        <w:jc w:val="both"/>
        <w:rPr>
          <w:lang w:val="en-GB"/>
        </w:rPr>
      </w:pPr>
      <w:r w:rsidRPr="00773253">
        <w:rPr>
          <w:lang w:val="en-GB"/>
        </w:rPr>
        <w:lastRenderedPageBreak/>
        <w:t>Fax: +38 057 7387120</w:t>
      </w:r>
    </w:p>
    <w:p w:rsidR="00B3065A" w:rsidRPr="00773253" w:rsidRDefault="00B3065A" w:rsidP="00B3065A">
      <w:pPr>
        <w:jc w:val="both"/>
        <w:rPr>
          <w:lang w:val="en-GB"/>
        </w:rPr>
      </w:pPr>
      <w:r w:rsidRPr="00773253">
        <w:rPr>
          <w:lang w:val="en-GB"/>
        </w:rPr>
        <w:t>E-</w:t>
      </w:r>
      <w:proofErr w:type="spellStart"/>
      <w:r w:rsidRPr="00773253">
        <w:rPr>
          <w:lang w:val="en-GB"/>
        </w:rPr>
        <w:t>mail:zinchenko.r.e@hts.kh.ua</w:t>
      </w:r>
      <w:proofErr w:type="spellEnd"/>
    </w:p>
    <w:p w:rsidR="00B3065A" w:rsidRPr="00773253" w:rsidRDefault="00B3065A" w:rsidP="00773253">
      <w:pPr>
        <w:jc w:val="both"/>
        <w:outlineLvl w:val="0"/>
        <w:rPr>
          <w:lang w:val="en-GB"/>
        </w:rPr>
      </w:pPr>
      <w:r w:rsidRPr="00773253">
        <w:rPr>
          <w:b/>
          <w:bCs/>
          <w:lang w:val="en-GB"/>
        </w:rPr>
        <w:t>Address (2):</w:t>
      </w:r>
    </w:p>
    <w:p w:rsidR="00B3065A" w:rsidRPr="00773253" w:rsidRDefault="00B3065A" w:rsidP="00773253">
      <w:pPr>
        <w:jc w:val="both"/>
        <w:outlineLvl w:val="0"/>
        <w:rPr>
          <w:lang w:val="en-GB"/>
        </w:rPr>
      </w:pPr>
      <w:proofErr w:type="spellStart"/>
      <w:r w:rsidRPr="00773253">
        <w:rPr>
          <w:lang w:val="en-GB"/>
        </w:rPr>
        <w:t>PublicUtility</w:t>
      </w:r>
      <w:proofErr w:type="spellEnd"/>
      <w:r w:rsidRPr="00773253">
        <w:rPr>
          <w:lang w:val="en-GB"/>
        </w:rPr>
        <w:t xml:space="preserve"> "</w:t>
      </w:r>
      <w:proofErr w:type="spellStart"/>
      <w:r w:rsidRPr="00773253">
        <w:rPr>
          <w:lang w:val="en-GB"/>
        </w:rPr>
        <w:t>Kharkivski</w:t>
      </w:r>
      <w:proofErr w:type="spellEnd"/>
      <w:r w:rsidRPr="00773253">
        <w:rPr>
          <w:lang w:val="en-GB"/>
        </w:rPr>
        <w:t xml:space="preserve"> </w:t>
      </w:r>
      <w:proofErr w:type="spellStart"/>
      <w:r w:rsidRPr="00773253">
        <w:rPr>
          <w:lang w:val="en-GB"/>
        </w:rPr>
        <w:t>teplovi</w:t>
      </w:r>
      <w:proofErr w:type="spellEnd"/>
      <w:r w:rsidRPr="00773253">
        <w:rPr>
          <w:lang w:val="en-GB"/>
        </w:rPr>
        <w:t xml:space="preserve"> </w:t>
      </w:r>
      <w:proofErr w:type="spellStart"/>
      <w:r w:rsidRPr="00773253">
        <w:rPr>
          <w:lang w:val="en-GB"/>
        </w:rPr>
        <w:t>merezhi</w:t>
      </w:r>
      <w:proofErr w:type="spellEnd"/>
      <w:r w:rsidRPr="00773253">
        <w:rPr>
          <w:lang w:val="en-GB"/>
        </w:rPr>
        <w:t>"</w:t>
      </w:r>
    </w:p>
    <w:p w:rsidR="00B3065A" w:rsidRPr="00773253" w:rsidRDefault="00B3065A" w:rsidP="00B3065A">
      <w:pPr>
        <w:jc w:val="both"/>
        <w:rPr>
          <w:lang w:val="en-GB"/>
        </w:rPr>
      </w:pPr>
      <w:r w:rsidRPr="00773253">
        <w:rPr>
          <w:lang w:val="en-GB"/>
        </w:rPr>
        <w:t xml:space="preserve">Address: 11 </w:t>
      </w:r>
      <w:proofErr w:type="spellStart"/>
      <w:r w:rsidRPr="00773253">
        <w:rPr>
          <w:lang w:val="en-GB"/>
        </w:rPr>
        <w:t>Mefodiivska</w:t>
      </w:r>
      <w:proofErr w:type="spellEnd"/>
      <w:r w:rsidRPr="00773253">
        <w:rPr>
          <w:lang w:val="en-GB"/>
        </w:rPr>
        <w:t xml:space="preserve"> Street, Floor 5, Conference Hall</w:t>
      </w:r>
    </w:p>
    <w:p w:rsidR="00B3065A" w:rsidRPr="00773253" w:rsidRDefault="00B3065A" w:rsidP="00B3065A">
      <w:pPr>
        <w:jc w:val="both"/>
        <w:rPr>
          <w:lang w:val="en-GB"/>
        </w:rPr>
      </w:pPr>
      <w:r w:rsidRPr="00773253">
        <w:rPr>
          <w:lang w:val="en-GB"/>
        </w:rPr>
        <w:t xml:space="preserve">City: </w:t>
      </w:r>
      <w:proofErr w:type="spellStart"/>
      <w:r w:rsidRPr="00773253">
        <w:rPr>
          <w:lang w:val="en-GB"/>
        </w:rPr>
        <w:t>Kharkiv</w:t>
      </w:r>
      <w:proofErr w:type="spellEnd"/>
    </w:p>
    <w:p w:rsidR="00B3065A" w:rsidRPr="00773253" w:rsidRDefault="00B3065A" w:rsidP="00B3065A">
      <w:pPr>
        <w:jc w:val="both"/>
        <w:rPr>
          <w:lang w:val="en-GB"/>
        </w:rPr>
      </w:pPr>
      <w:r w:rsidRPr="00773253">
        <w:rPr>
          <w:lang w:val="en-GB"/>
        </w:rPr>
        <w:t>ZIP Code: 61037</w:t>
      </w:r>
    </w:p>
    <w:p w:rsidR="00B3065A" w:rsidRPr="00773253" w:rsidRDefault="00B3065A" w:rsidP="00B3065A">
      <w:pPr>
        <w:jc w:val="both"/>
        <w:rPr>
          <w:lang w:val="en-GB"/>
        </w:rPr>
      </w:pPr>
      <w:r w:rsidRPr="00773253">
        <w:rPr>
          <w:lang w:val="en-GB"/>
        </w:rPr>
        <w:t>Country: Ukraine</w:t>
      </w:r>
    </w:p>
    <w:p w:rsidR="003E4C30" w:rsidRPr="00773253" w:rsidRDefault="003E4C30" w:rsidP="00B3065A">
      <w:pPr>
        <w:jc w:val="both"/>
        <w:rPr>
          <w:lang w:val="en-GB"/>
        </w:rPr>
      </w:pPr>
    </w:p>
    <w:sectPr w:rsidR="003E4C30" w:rsidRPr="00773253" w:rsidSect="003E4C3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3DBE"/>
    <w:multiLevelType w:val="multilevel"/>
    <w:tmpl w:val="B2D66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3065A"/>
    <w:rsid w:val="00151351"/>
    <w:rsid w:val="003E4C30"/>
    <w:rsid w:val="003F58F9"/>
    <w:rsid w:val="00454DAA"/>
    <w:rsid w:val="005F54DC"/>
    <w:rsid w:val="00731C4F"/>
    <w:rsid w:val="00773253"/>
    <w:rsid w:val="009C3E60"/>
    <w:rsid w:val="00B306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C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773253"/>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7732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944381">
      <w:bodyDiv w:val="1"/>
      <w:marLeft w:val="0"/>
      <w:marRight w:val="0"/>
      <w:marTop w:val="0"/>
      <w:marBottom w:val="0"/>
      <w:divBdr>
        <w:top w:val="none" w:sz="0" w:space="0" w:color="auto"/>
        <w:left w:val="none" w:sz="0" w:space="0" w:color="auto"/>
        <w:bottom w:val="none" w:sz="0" w:space="0" w:color="auto"/>
        <w:right w:val="none" w:sz="0" w:space="0" w:color="auto"/>
      </w:divBdr>
    </w:div>
    <w:div w:id="19944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3012</Words>
  <Characters>1718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2018-08-06T09:14:00Z</dcterms:created>
  <dcterms:modified xsi:type="dcterms:W3CDTF">2018-08-07T05:58:00Z</dcterms:modified>
</cp:coreProperties>
</file>