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1F" w:rsidRDefault="0095421F" w:rsidP="0095421F">
      <w:pPr>
        <w:pStyle w:val="a6"/>
        <w:rPr>
          <w:b/>
          <w:spacing w:val="-2"/>
          <w:sz w:val="22"/>
          <w:szCs w:val="22"/>
        </w:rPr>
      </w:pPr>
      <w:r>
        <w:rPr>
          <w:b/>
        </w:rPr>
        <w:t>UKRAINE</w:t>
      </w:r>
    </w:p>
    <w:p w:rsidR="0095421F" w:rsidRDefault="0095421F" w:rsidP="0095421F">
      <w:pPr>
        <w:rPr>
          <w:sz w:val="22"/>
          <w:szCs w:val="22"/>
        </w:rPr>
      </w:pPr>
      <w:r>
        <w:rPr>
          <w:b/>
          <w:spacing w:val="-2"/>
          <w:sz w:val="22"/>
          <w:szCs w:val="22"/>
        </w:rPr>
        <w:t>SECOND URBAN INFRASTRUCTURE PROJECT (UIP-2)</w:t>
      </w:r>
    </w:p>
    <w:p w:rsidR="0095421F" w:rsidRDefault="0095421F" w:rsidP="0095421F">
      <w:pPr>
        <w:pStyle w:val="a4"/>
        <w:rPr>
          <w:b/>
          <w:sz w:val="22"/>
          <w:szCs w:val="22"/>
        </w:rPr>
      </w:pPr>
      <w:r>
        <w:rPr>
          <w:sz w:val="22"/>
          <w:szCs w:val="22"/>
        </w:rPr>
        <w:t>Loan No./Credit No./ Grant No.: LA-8391-UA and TF017112</w:t>
      </w:r>
    </w:p>
    <w:p w:rsidR="0095421F" w:rsidRDefault="0095421F" w:rsidP="0095421F">
      <w:pPr>
        <w:rPr>
          <w:b/>
          <w:sz w:val="22"/>
          <w:szCs w:val="22"/>
        </w:rPr>
      </w:pPr>
    </w:p>
    <w:p w:rsidR="0095421F" w:rsidRDefault="0095421F" w:rsidP="0095421F">
      <w:pPr>
        <w:pStyle w:val="a4"/>
        <w:rPr>
          <w:b/>
          <w:sz w:val="22"/>
          <w:szCs w:val="22"/>
        </w:rPr>
      </w:pPr>
      <w:r>
        <w:rPr>
          <w:b/>
          <w:sz w:val="22"/>
          <w:szCs w:val="22"/>
        </w:rPr>
        <w:t xml:space="preserve">Contract Title: </w:t>
      </w:r>
      <w:r>
        <w:rPr>
          <w:spacing w:val="-6"/>
          <w:sz w:val="22"/>
          <w:szCs w:val="22"/>
        </w:rPr>
        <w:t>Procurement of vehicles and containers for solid waste landfill</w:t>
      </w:r>
    </w:p>
    <w:p w:rsidR="0095421F" w:rsidRDefault="0095421F" w:rsidP="0095421F">
      <w:pPr>
        <w:pStyle w:val="a4"/>
        <w:rPr>
          <w:b/>
          <w:sz w:val="22"/>
          <w:szCs w:val="22"/>
        </w:rPr>
      </w:pPr>
    </w:p>
    <w:p w:rsidR="0095421F" w:rsidRDefault="0095421F" w:rsidP="0095421F">
      <w:r>
        <w:rPr>
          <w:b/>
          <w:spacing w:val="-2"/>
          <w:sz w:val="22"/>
          <w:szCs w:val="22"/>
        </w:rPr>
        <w:t>Reference No</w:t>
      </w:r>
      <w:r>
        <w:rPr>
          <w:spacing w:val="-2"/>
          <w:sz w:val="22"/>
          <w:szCs w:val="22"/>
        </w:rPr>
        <w:t xml:space="preserve">. (as per Procurement Plan): </w:t>
      </w:r>
      <w:r>
        <w:rPr>
          <w:iCs/>
          <w:spacing w:val="-6"/>
          <w:sz w:val="22"/>
          <w:szCs w:val="22"/>
        </w:rPr>
        <w:t>KHW-SWM-ICB-02</w:t>
      </w:r>
    </w:p>
    <w:p w:rsidR="0095421F" w:rsidRDefault="0095421F" w:rsidP="0095421F"/>
    <w:p w:rsidR="0095421F" w:rsidRDefault="0095421F" w:rsidP="0095421F">
      <w:pPr>
        <w:rPr>
          <w:spacing w:val="-2"/>
          <w:sz w:val="22"/>
          <w:szCs w:val="22"/>
        </w:rPr>
      </w:pPr>
    </w:p>
    <w:p w:rsidR="0095421F" w:rsidRDefault="0095421F" w:rsidP="0095421F">
      <w:pPr>
        <w:spacing w:after="200"/>
        <w:rPr>
          <w:spacing w:val="-2"/>
          <w:sz w:val="22"/>
          <w:szCs w:val="22"/>
        </w:rPr>
      </w:pPr>
      <w:r>
        <w:rPr>
          <w:spacing w:val="-2"/>
          <w:sz w:val="22"/>
          <w:szCs w:val="22"/>
        </w:rPr>
        <w:t xml:space="preserve">1. Ukraine has received financing from the World Bank toward the cost of the </w:t>
      </w:r>
      <w:r>
        <w:rPr>
          <w:sz w:val="22"/>
          <w:szCs w:val="22"/>
        </w:rPr>
        <w:t>Second Urban Infrastructure Project (UIP-2)</w:t>
      </w:r>
      <w:r>
        <w:rPr>
          <w:spacing w:val="-2"/>
          <w:sz w:val="22"/>
          <w:szCs w:val="22"/>
        </w:rPr>
        <w:t xml:space="preserve">, and intends to apply part of the proceeds toward payments under the contract for </w:t>
      </w:r>
      <w:r>
        <w:rPr>
          <w:spacing w:val="-6"/>
          <w:sz w:val="22"/>
          <w:szCs w:val="22"/>
        </w:rPr>
        <w:t>Procurement of vehicles and containers for solid waste landfill</w:t>
      </w:r>
      <w:r>
        <w:rPr>
          <w:spacing w:val="-2"/>
          <w:sz w:val="22"/>
          <w:szCs w:val="22"/>
        </w:rPr>
        <w:t>.</w:t>
      </w:r>
    </w:p>
    <w:p w:rsidR="0095421F" w:rsidRDefault="0095421F" w:rsidP="0095421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b/>
          <w:color w:val="000000"/>
          <w:sz w:val="22"/>
          <w:szCs w:val="22"/>
        </w:rPr>
      </w:pPr>
      <w:r>
        <w:rPr>
          <w:spacing w:val="-2"/>
          <w:sz w:val="22"/>
          <w:szCs w:val="22"/>
        </w:rPr>
        <w:t xml:space="preserve">2. The </w:t>
      </w:r>
      <w:r>
        <w:rPr>
          <w:sz w:val="22"/>
          <w:szCs w:val="22"/>
          <w:u w:val="single"/>
        </w:rPr>
        <w:t>Utility Company “</w:t>
      </w:r>
      <w:proofErr w:type="spellStart"/>
      <w:r>
        <w:rPr>
          <w:sz w:val="22"/>
          <w:szCs w:val="22"/>
          <w:u w:val="single"/>
        </w:rPr>
        <w:t>Kharkiv</w:t>
      </w:r>
      <w:proofErr w:type="spellEnd"/>
      <w:r>
        <w:rPr>
          <w:sz w:val="22"/>
          <w:szCs w:val="22"/>
          <w:u w:val="single"/>
        </w:rPr>
        <w:t xml:space="preserve"> Municipal Company for Waste Management”</w:t>
      </w:r>
      <w:r>
        <w:rPr>
          <w:spacing w:val="-2"/>
          <w:sz w:val="22"/>
          <w:szCs w:val="22"/>
        </w:rPr>
        <w:t xml:space="preserve"> now invites sealed bids from eligible bidders for </w:t>
      </w:r>
      <w:r>
        <w:rPr>
          <w:spacing w:val="-2"/>
          <w:sz w:val="22"/>
          <w:szCs w:val="22"/>
          <w:u w:val="single"/>
        </w:rPr>
        <w:t xml:space="preserve">supply of vehicles and containers for solid landfill consisting of the following </w:t>
      </w:r>
      <w:r>
        <w:rPr>
          <w:color w:val="000000"/>
          <w:sz w:val="22"/>
          <w:szCs w:val="22"/>
        </w:rPr>
        <w:t>5 lots:</w:t>
      </w:r>
    </w:p>
    <w:p w:rsidR="0095421F" w:rsidRDefault="0095421F" w:rsidP="0095421F">
      <w:pPr>
        <w:tabs>
          <w:tab w:val="right" w:pos="7272"/>
        </w:tabs>
        <w:spacing w:before="60" w:after="60"/>
        <w:rPr>
          <w:color w:val="000000"/>
          <w:sz w:val="22"/>
          <w:szCs w:val="22"/>
        </w:rPr>
      </w:pPr>
      <w:r>
        <w:rPr>
          <w:b/>
          <w:color w:val="000000"/>
          <w:sz w:val="22"/>
          <w:szCs w:val="22"/>
        </w:rPr>
        <w:t xml:space="preserve">Lot 1 </w:t>
      </w:r>
      <w:r>
        <w:rPr>
          <w:b/>
          <w:color w:val="000000"/>
          <w:sz w:val="22"/>
          <w:szCs w:val="22"/>
          <w:u w:val="single"/>
        </w:rPr>
        <w:t xml:space="preserve">(KHW-SWM-ICB-02L1): </w:t>
      </w:r>
    </w:p>
    <w:p w:rsidR="0095421F" w:rsidRDefault="0095421F" w:rsidP="0095421F">
      <w:pPr>
        <w:pStyle w:val="ListParagraph"/>
        <w:numPr>
          <w:ilvl w:val="0"/>
          <w:numId w:val="1"/>
        </w:numPr>
        <w:spacing w:before="60" w:after="60"/>
        <w:rPr>
          <w:color w:val="000000"/>
          <w:sz w:val="22"/>
          <w:szCs w:val="22"/>
        </w:rPr>
      </w:pPr>
      <w:r>
        <w:rPr>
          <w:color w:val="000000"/>
          <w:sz w:val="22"/>
          <w:szCs w:val="22"/>
        </w:rPr>
        <w:t>Dump truck – 1 pcs</w:t>
      </w:r>
    </w:p>
    <w:p w:rsidR="0095421F" w:rsidRDefault="0095421F" w:rsidP="0095421F">
      <w:pPr>
        <w:pStyle w:val="ListParagraph"/>
        <w:numPr>
          <w:ilvl w:val="0"/>
          <w:numId w:val="1"/>
        </w:numPr>
        <w:spacing w:before="60" w:after="60"/>
        <w:rPr>
          <w:color w:val="000000"/>
          <w:sz w:val="22"/>
          <w:szCs w:val="22"/>
        </w:rPr>
      </w:pPr>
      <w:r>
        <w:rPr>
          <w:color w:val="000000"/>
          <w:sz w:val="22"/>
          <w:szCs w:val="22"/>
        </w:rPr>
        <w:t>Water truck – 1 pcs;</w:t>
      </w:r>
    </w:p>
    <w:p w:rsidR="0095421F" w:rsidRDefault="0095421F" w:rsidP="0095421F">
      <w:pPr>
        <w:pStyle w:val="ListParagraph"/>
        <w:numPr>
          <w:ilvl w:val="0"/>
          <w:numId w:val="1"/>
        </w:numPr>
        <w:spacing w:before="60" w:after="60"/>
        <w:rPr>
          <w:sz w:val="22"/>
          <w:szCs w:val="22"/>
        </w:rPr>
      </w:pPr>
      <w:r>
        <w:rPr>
          <w:color w:val="000000"/>
          <w:sz w:val="22"/>
          <w:szCs w:val="22"/>
        </w:rPr>
        <w:t>Tank-car – 1 pcs;</w:t>
      </w:r>
    </w:p>
    <w:p w:rsidR="0095421F" w:rsidRDefault="0095421F" w:rsidP="0095421F">
      <w:pPr>
        <w:pStyle w:val="ListParagraph"/>
        <w:numPr>
          <w:ilvl w:val="0"/>
          <w:numId w:val="1"/>
        </w:numPr>
        <w:spacing w:before="60" w:after="120"/>
        <w:ind w:left="714" w:hanging="357"/>
        <w:rPr>
          <w:b/>
          <w:sz w:val="22"/>
          <w:szCs w:val="22"/>
        </w:rPr>
      </w:pPr>
      <w:r>
        <w:rPr>
          <w:sz w:val="22"/>
          <w:szCs w:val="22"/>
        </w:rPr>
        <w:t xml:space="preserve">Truck with hook device (Hook lift) </w:t>
      </w:r>
      <w:r>
        <w:rPr>
          <w:color w:val="000000"/>
          <w:sz w:val="22"/>
          <w:szCs w:val="22"/>
        </w:rPr>
        <w:t>– 1 pcs</w:t>
      </w:r>
      <w:r>
        <w:rPr>
          <w:sz w:val="22"/>
          <w:szCs w:val="22"/>
        </w:rPr>
        <w:t>.</w:t>
      </w:r>
    </w:p>
    <w:p w:rsidR="0095421F" w:rsidRDefault="0095421F" w:rsidP="0095421F">
      <w:pPr>
        <w:spacing w:before="60" w:after="60"/>
        <w:rPr>
          <w:sz w:val="22"/>
          <w:szCs w:val="22"/>
        </w:rPr>
      </w:pPr>
      <w:r>
        <w:rPr>
          <w:b/>
          <w:sz w:val="22"/>
          <w:szCs w:val="22"/>
        </w:rPr>
        <w:t xml:space="preserve">Lot 2 </w:t>
      </w:r>
      <w:r>
        <w:rPr>
          <w:b/>
          <w:color w:val="000000"/>
          <w:sz w:val="22"/>
          <w:szCs w:val="22"/>
          <w:u w:val="single"/>
        </w:rPr>
        <w:t>(KHW-SWM-ICB-02L2):</w:t>
      </w:r>
    </w:p>
    <w:p w:rsidR="0095421F" w:rsidRDefault="0095421F" w:rsidP="0095421F">
      <w:pPr>
        <w:pStyle w:val="ListParagraph"/>
        <w:numPr>
          <w:ilvl w:val="0"/>
          <w:numId w:val="1"/>
        </w:numPr>
        <w:spacing w:before="60" w:after="60"/>
        <w:rPr>
          <w:sz w:val="22"/>
          <w:szCs w:val="22"/>
        </w:rPr>
      </w:pPr>
      <w:r>
        <w:rPr>
          <w:sz w:val="22"/>
          <w:szCs w:val="22"/>
        </w:rPr>
        <w:t xml:space="preserve">Front loader 6,0t </w:t>
      </w:r>
      <w:r>
        <w:rPr>
          <w:color w:val="000000"/>
          <w:sz w:val="22"/>
          <w:szCs w:val="22"/>
        </w:rPr>
        <w:t>– 1 pcs</w:t>
      </w:r>
      <w:r>
        <w:rPr>
          <w:sz w:val="22"/>
          <w:szCs w:val="22"/>
        </w:rPr>
        <w:t>;</w:t>
      </w:r>
    </w:p>
    <w:p w:rsidR="0095421F" w:rsidRDefault="0095421F" w:rsidP="0095421F">
      <w:pPr>
        <w:pStyle w:val="ListParagraph"/>
        <w:numPr>
          <w:ilvl w:val="0"/>
          <w:numId w:val="1"/>
        </w:numPr>
        <w:spacing w:before="60" w:after="120"/>
        <w:ind w:left="714" w:hanging="357"/>
        <w:rPr>
          <w:b/>
          <w:sz w:val="22"/>
          <w:szCs w:val="22"/>
        </w:rPr>
      </w:pPr>
      <w:r>
        <w:rPr>
          <w:sz w:val="22"/>
          <w:szCs w:val="22"/>
        </w:rPr>
        <w:t xml:space="preserve">Front loader with additional equipment 3,2t </w:t>
      </w:r>
      <w:r>
        <w:rPr>
          <w:color w:val="000000"/>
          <w:sz w:val="22"/>
          <w:szCs w:val="22"/>
        </w:rPr>
        <w:t>– 1 pcs</w:t>
      </w:r>
      <w:r>
        <w:rPr>
          <w:sz w:val="22"/>
          <w:szCs w:val="22"/>
        </w:rPr>
        <w:t>.</w:t>
      </w:r>
    </w:p>
    <w:p w:rsidR="0095421F" w:rsidRDefault="0095421F" w:rsidP="0095421F">
      <w:pPr>
        <w:spacing w:before="60" w:after="60"/>
        <w:rPr>
          <w:sz w:val="22"/>
          <w:szCs w:val="22"/>
        </w:rPr>
      </w:pPr>
      <w:r>
        <w:rPr>
          <w:b/>
          <w:sz w:val="22"/>
          <w:szCs w:val="22"/>
        </w:rPr>
        <w:t xml:space="preserve">Lot 3 </w:t>
      </w:r>
      <w:r>
        <w:rPr>
          <w:b/>
          <w:color w:val="000000"/>
          <w:sz w:val="22"/>
          <w:szCs w:val="22"/>
          <w:u w:val="single"/>
        </w:rPr>
        <w:t>(KHW-SWM-ICB-02L3):</w:t>
      </w:r>
    </w:p>
    <w:p w:rsidR="0095421F" w:rsidRDefault="0095421F" w:rsidP="0095421F">
      <w:pPr>
        <w:pStyle w:val="ListParagraph"/>
        <w:numPr>
          <w:ilvl w:val="0"/>
          <w:numId w:val="1"/>
        </w:numPr>
        <w:spacing w:before="60" w:after="120"/>
        <w:ind w:left="714" w:hanging="357"/>
        <w:rPr>
          <w:b/>
          <w:color w:val="000000"/>
          <w:sz w:val="22"/>
          <w:szCs w:val="22"/>
        </w:rPr>
      </w:pPr>
      <w:r>
        <w:rPr>
          <w:sz w:val="22"/>
          <w:szCs w:val="22"/>
        </w:rPr>
        <w:t>Telescopic</w:t>
      </w:r>
      <w:r>
        <w:rPr>
          <w:color w:val="000000"/>
          <w:sz w:val="22"/>
          <w:szCs w:val="22"/>
        </w:rPr>
        <w:t xml:space="preserve"> wheel loader – 2 pcs.</w:t>
      </w:r>
    </w:p>
    <w:p w:rsidR="0095421F" w:rsidRDefault="0095421F" w:rsidP="0095421F">
      <w:pPr>
        <w:tabs>
          <w:tab w:val="right" w:pos="7272"/>
        </w:tabs>
        <w:spacing w:before="60" w:after="60"/>
        <w:rPr>
          <w:color w:val="000000"/>
          <w:sz w:val="22"/>
          <w:szCs w:val="22"/>
        </w:rPr>
      </w:pPr>
      <w:r>
        <w:rPr>
          <w:b/>
          <w:color w:val="000000"/>
          <w:sz w:val="22"/>
          <w:szCs w:val="22"/>
        </w:rPr>
        <w:t xml:space="preserve">Lot 4 </w:t>
      </w:r>
      <w:r>
        <w:rPr>
          <w:b/>
          <w:color w:val="000000"/>
          <w:sz w:val="22"/>
          <w:szCs w:val="22"/>
          <w:u w:val="single"/>
        </w:rPr>
        <w:t>(KHW-SWM-ICB-02L4):</w:t>
      </w:r>
    </w:p>
    <w:p w:rsidR="0095421F" w:rsidRDefault="0095421F" w:rsidP="0095421F">
      <w:pPr>
        <w:pStyle w:val="ListParagraph"/>
        <w:numPr>
          <w:ilvl w:val="0"/>
          <w:numId w:val="1"/>
        </w:numPr>
        <w:spacing w:before="60" w:after="60"/>
        <w:rPr>
          <w:sz w:val="22"/>
          <w:szCs w:val="22"/>
        </w:rPr>
      </w:pPr>
      <w:r>
        <w:rPr>
          <w:color w:val="000000"/>
          <w:sz w:val="22"/>
          <w:szCs w:val="22"/>
        </w:rPr>
        <w:t>Primary chopper – 1 pcs;</w:t>
      </w:r>
    </w:p>
    <w:p w:rsidR="0095421F" w:rsidRDefault="0095421F" w:rsidP="0095421F">
      <w:pPr>
        <w:pStyle w:val="ListParagraph"/>
        <w:numPr>
          <w:ilvl w:val="0"/>
          <w:numId w:val="1"/>
        </w:numPr>
        <w:spacing w:before="60" w:after="120"/>
        <w:ind w:left="714" w:hanging="357"/>
        <w:rPr>
          <w:b/>
          <w:color w:val="000000"/>
          <w:sz w:val="22"/>
          <w:szCs w:val="22"/>
        </w:rPr>
      </w:pPr>
      <w:r>
        <w:rPr>
          <w:sz w:val="22"/>
          <w:szCs w:val="22"/>
        </w:rPr>
        <w:t>Secondary</w:t>
      </w:r>
      <w:r>
        <w:rPr>
          <w:color w:val="000000"/>
          <w:sz w:val="22"/>
          <w:szCs w:val="22"/>
        </w:rPr>
        <w:t xml:space="preserve"> chopper – 1 pcs.</w:t>
      </w:r>
    </w:p>
    <w:p w:rsidR="0095421F" w:rsidRDefault="0095421F" w:rsidP="0095421F">
      <w:pPr>
        <w:tabs>
          <w:tab w:val="right" w:pos="7272"/>
        </w:tabs>
        <w:spacing w:before="60" w:after="60"/>
        <w:rPr>
          <w:sz w:val="22"/>
          <w:szCs w:val="22"/>
        </w:rPr>
      </w:pPr>
      <w:r>
        <w:rPr>
          <w:b/>
          <w:color w:val="000000"/>
          <w:sz w:val="22"/>
          <w:szCs w:val="22"/>
        </w:rPr>
        <w:t xml:space="preserve">Lot 5 </w:t>
      </w:r>
      <w:r>
        <w:rPr>
          <w:b/>
          <w:color w:val="000000"/>
          <w:sz w:val="22"/>
          <w:szCs w:val="22"/>
          <w:u w:val="single"/>
        </w:rPr>
        <w:t>(KHW-SWM-ICB-02L5):</w:t>
      </w:r>
    </w:p>
    <w:p w:rsidR="0095421F" w:rsidRDefault="0095421F" w:rsidP="0095421F">
      <w:pPr>
        <w:pStyle w:val="ListParagraph"/>
        <w:numPr>
          <w:ilvl w:val="0"/>
          <w:numId w:val="1"/>
        </w:numPr>
        <w:spacing w:before="60" w:after="120"/>
        <w:ind w:left="714" w:hanging="357"/>
        <w:rPr>
          <w:color w:val="000000"/>
          <w:sz w:val="22"/>
          <w:szCs w:val="22"/>
        </w:rPr>
      </w:pPr>
      <w:r>
        <w:rPr>
          <w:sz w:val="22"/>
          <w:szCs w:val="22"/>
        </w:rPr>
        <w:t>Bulldozer</w:t>
      </w:r>
      <w:r>
        <w:rPr>
          <w:color w:val="000000"/>
          <w:sz w:val="22"/>
          <w:szCs w:val="22"/>
        </w:rPr>
        <w:t xml:space="preserve"> – 1 pcs.</w:t>
      </w:r>
    </w:p>
    <w:p w:rsidR="0095421F" w:rsidRDefault="0095421F" w:rsidP="0095421F">
      <w:pPr>
        <w:tabs>
          <w:tab w:val="right" w:pos="7272"/>
        </w:tabs>
        <w:spacing w:before="60" w:after="60"/>
        <w:rPr>
          <w:b/>
          <w:spacing w:val="-2"/>
          <w:sz w:val="22"/>
          <w:szCs w:val="22"/>
        </w:rPr>
      </w:pPr>
      <w:r>
        <w:rPr>
          <w:color w:val="000000"/>
          <w:sz w:val="22"/>
          <w:szCs w:val="22"/>
        </w:rPr>
        <w:t>Bidders are allowed to bid for all or any lot.</w:t>
      </w:r>
    </w:p>
    <w:p w:rsidR="0095421F" w:rsidRDefault="0095421F" w:rsidP="0095421F">
      <w:pPr>
        <w:spacing w:after="200"/>
        <w:rPr>
          <w:i/>
          <w:spacing w:val="-2"/>
          <w:sz w:val="22"/>
          <w:szCs w:val="22"/>
        </w:rPr>
      </w:pPr>
      <w:r>
        <w:rPr>
          <w:b/>
          <w:spacing w:val="-2"/>
          <w:sz w:val="22"/>
          <w:szCs w:val="22"/>
        </w:rPr>
        <w:t>Qualification requirements for Bidders:</w:t>
      </w:r>
    </w:p>
    <w:p w:rsidR="0095421F" w:rsidRDefault="0095421F" w:rsidP="0095421F">
      <w:pPr>
        <w:spacing w:after="200"/>
        <w:rPr>
          <w:spacing w:val="-2"/>
          <w:sz w:val="22"/>
          <w:szCs w:val="22"/>
        </w:rPr>
      </w:pPr>
      <w:r>
        <w:rPr>
          <w:i/>
          <w:spacing w:val="-2"/>
          <w:sz w:val="22"/>
          <w:szCs w:val="22"/>
        </w:rPr>
        <w:t>(</w:t>
      </w:r>
      <w:proofErr w:type="spellStart"/>
      <w:r>
        <w:rPr>
          <w:i/>
          <w:spacing w:val="-2"/>
          <w:sz w:val="22"/>
          <w:szCs w:val="22"/>
        </w:rPr>
        <w:t>i</w:t>
      </w:r>
      <w:proofErr w:type="spellEnd"/>
      <w:r>
        <w:rPr>
          <w:i/>
          <w:spacing w:val="-2"/>
          <w:sz w:val="22"/>
          <w:szCs w:val="22"/>
        </w:rPr>
        <w:t>)</w:t>
      </w:r>
      <w:r>
        <w:rPr>
          <w:i/>
          <w:spacing w:val="-2"/>
          <w:sz w:val="22"/>
          <w:szCs w:val="22"/>
        </w:rPr>
        <w:tab/>
        <w:t>Financial Capability</w:t>
      </w:r>
    </w:p>
    <w:p w:rsidR="0095421F" w:rsidRDefault="0095421F" w:rsidP="0095421F">
      <w:pPr>
        <w:spacing w:after="200"/>
        <w:rPr>
          <w:spacing w:val="-2"/>
          <w:sz w:val="22"/>
          <w:szCs w:val="22"/>
        </w:rPr>
      </w:pPr>
      <w:r>
        <w:rPr>
          <w:spacing w:val="-2"/>
          <w:sz w:val="22"/>
          <w:szCs w:val="22"/>
        </w:rPr>
        <w:t>The Bidder shall furnish documentary evidence that it meets the following financial requirement(s) for each lot:</w:t>
      </w:r>
    </w:p>
    <w:p w:rsidR="0095421F" w:rsidRDefault="0095421F" w:rsidP="0095421F">
      <w:pPr>
        <w:spacing w:after="200"/>
        <w:rPr>
          <w:spacing w:val="-2"/>
          <w:sz w:val="22"/>
          <w:szCs w:val="22"/>
        </w:rPr>
      </w:pPr>
      <w:r>
        <w:rPr>
          <w:spacing w:val="-2"/>
          <w:sz w:val="22"/>
          <w:szCs w:val="22"/>
        </w:rPr>
        <w:t>Lot 1 “Procurement of dump truck, water truck, tank-car and truck with hook device (Hook lift)”: The Bidder should demonstrate a minimum average annual turnover of US$ 2 (two) million equivalent over the last 3 (three) years.</w:t>
      </w:r>
    </w:p>
    <w:p w:rsidR="0095421F" w:rsidRDefault="0095421F" w:rsidP="0095421F">
      <w:pPr>
        <w:spacing w:after="200"/>
        <w:rPr>
          <w:spacing w:val="-2"/>
          <w:sz w:val="22"/>
          <w:szCs w:val="22"/>
        </w:rPr>
      </w:pPr>
      <w:r>
        <w:rPr>
          <w:spacing w:val="-2"/>
          <w:sz w:val="22"/>
          <w:szCs w:val="22"/>
        </w:rPr>
        <w:t>Lot 2 “Procurement of front loader 6,0 t and front loader with additional equipment 3,2 t”: The Bidder should demonstrate a minimum average annual turnover of US$ 550,000 (five hundred fifty thousand) equivalent over the last 3 (three) years.</w:t>
      </w:r>
    </w:p>
    <w:p w:rsidR="0095421F" w:rsidRDefault="0095421F" w:rsidP="0095421F">
      <w:pPr>
        <w:spacing w:after="200"/>
        <w:rPr>
          <w:spacing w:val="-2"/>
          <w:sz w:val="22"/>
          <w:szCs w:val="22"/>
        </w:rPr>
      </w:pPr>
      <w:r>
        <w:rPr>
          <w:spacing w:val="-2"/>
          <w:sz w:val="22"/>
          <w:szCs w:val="22"/>
        </w:rPr>
        <w:t>Lot 3 “Procurement of 2 (two) telescopic wheel loaders”: The Bidder should demonstrate a minimum average annual turnover of US$650,000 (six hundred fifty thousand) equivalent over the last 3 (three) years.</w:t>
      </w:r>
    </w:p>
    <w:p w:rsidR="0095421F" w:rsidRDefault="0095421F" w:rsidP="0095421F">
      <w:pPr>
        <w:spacing w:after="200"/>
        <w:rPr>
          <w:spacing w:val="-2"/>
          <w:sz w:val="22"/>
          <w:szCs w:val="22"/>
        </w:rPr>
      </w:pPr>
      <w:r>
        <w:rPr>
          <w:spacing w:val="-2"/>
          <w:sz w:val="22"/>
          <w:szCs w:val="22"/>
        </w:rPr>
        <w:lastRenderedPageBreak/>
        <w:t>Lot 4 “Procurement of primary and secondary choppers”: The Bidder should demonstrate a minimum average annual turnover of US$ 2,5 (two and half) million equivalent over the last 3 (three) years.</w:t>
      </w:r>
    </w:p>
    <w:p w:rsidR="0095421F" w:rsidRDefault="0095421F" w:rsidP="0095421F">
      <w:pPr>
        <w:spacing w:after="200"/>
        <w:rPr>
          <w:i/>
          <w:spacing w:val="-2"/>
          <w:sz w:val="22"/>
          <w:szCs w:val="22"/>
        </w:rPr>
      </w:pPr>
      <w:r>
        <w:rPr>
          <w:spacing w:val="-2"/>
          <w:sz w:val="22"/>
          <w:szCs w:val="22"/>
        </w:rPr>
        <w:t>Lot 5 “Procurement of bulldozer”: The Bidder should demonstrate a minimum average annual turnover of US$ 750,000 (seven hundred fifty thousand) equivalent over the last 3 (three) years.</w:t>
      </w:r>
    </w:p>
    <w:p w:rsidR="0095421F" w:rsidRDefault="0095421F" w:rsidP="0095421F">
      <w:pPr>
        <w:spacing w:after="200"/>
        <w:rPr>
          <w:spacing w:val="-2"/>
          <w:sz w:val="22"/>
          <w:szCs w:val="22"/>
        </w:rPr>
      </w:pPr>
      <w:r>
        <w:rPr>
          <w:i/>
          <w:spacing w:val="-2"/>
          <w:sz w:val="22"/>
          <w:szCs w:val="22"/>
        </w:rPr>
        <w:t>(ii)</w:t>
      </w:r>
      <w:r>
        <w:rPr>
          <w:i/>
          <w:spacing w:val="-2"/>
          <w:sz w:val="22"/>
          <w:szCs w:val="22"/>
        </w:rPr>
        <w:tab/>
        <w:t>Experience and Technical Capacity</w:t>
      </w:r>
    </w:p>
    <w:p w:rsidR="0095421F" w:rsidRDefault="0095421F" w:rsidP="0095421F">
      <w:pPr>
        <w:spacing w:after="200"/>
        <w:rPr>
          <w:spacing w:val="-2"/>
          <w:sz w:val="22"/>
          <w:szCs w:val="22"/>
        </w:rPr>
      </w:pPr>
      <w:r>
        <w:rPr>
          <w:spacing w:val="-2"/>
          <w:sz w:val="22"/>
          <w:szCs w:val="22"/>
        </w:rPr>
        <w:t>The Bidder shall furnish documentary evidence to demonstrate that it (or Manufacturer) meets the following experience requirement(s) for each lot:</w:t>
      </w:r>
    </w:p>
    <w:p w:rsidR="0095421F" w:rsidRDefault="0095421F" w:rsidP="0095421F">
      <w:pPr>
        <w:spacing w:after="200"/>
        <w:rPr>
          <w:spacing w:val="-2"/>
          <w:sz w:val="22"/>
          <w:szCs w:val="22"/>
        </w:rPr>
      </w:pPr>
      <w:r>
        <w:rPr>
          <w:spacing w:val="-2"/>
          <w:sz w:val="22"/>
          <w:szCs w:val="22"/>
        </w:rPr>
        <w:t>Lot 1“Procurement of dump truck, water truck, tank-car and truck with hook device (Hook lift)”: The Bidder should demonstrate that it has successfully completed the manufacture of minimum 500 pieces of trucks within last 5 (five) years.</w:t>
      </w:r>
    </w:p>
    <w:p w:rsidR="0095421F" w:rsidRDefault="0095421F" w:rsidP="0095421F">
      <w:pPr>
        <w:spacing w:after="200"/>
        <w:rPr>
          <w:spacing w:val="-2"/>
          <w:sz w:val="22"/>
          <w:szCs w:val="22"/>
        </w:rPr>
      </w:pPr>
      <w:r>
        <w:rPr>
          <w:spacing w:val="-2"/>
          <w:sz w:val="22"/>
          <w:szCs w:val="22"/>
        </w:rPr>
        <w:t>Lot 2 “Procurement of front loader 6,0 t and front loader with additional equipment 3,2 t”: The Bidder should demonstrate that it has successfully completed the manufacture of minimum 300 front loaders within last 5 (five) years.</w:t>
      </w:r>
    </w:p>
    <w:p w:rsidR="0095421F" w:rsidRDefault="0095421F" w:rsidP="0095421F">
      <w:pPr>
        <w:spacing w:after="200"/>
        <w:rPr>
          <w:spacing w:val="-2"/>
          <w:sz w:val="22"/>
          <w:szCs w:val="22"/>
        </w:rPr>
      </w:pPr>
      <w:r>
        <w:rPr>
          <w:spacing w:val="-2"/>
          <w:sz w:val="22"/>
          <w:szCs w:val="22"/>
        </w:rPr>
        <w:t>Lot 3 “Procurement of 2 (two) telescopic wheel loaders”: The Bidder should demonstrate that it has successfully completed the manufacture of minimum 300 telescopic wheel loaders within last 5 (five) years.</w:t>
      </w:r>
    </w:p>
    <w:p w:rsidR="0095421F" w:rsidRDefault="0095421F" w:rsidP="0095421F">
      <w:pPr>
        <w:spacing w:after="200"/>
        <w:rPr>
          <w:spacing w:val="-2"/>
          <w:sz w:val="22"/>
          <w:szCs w:val="22"/>
        </w:rPr>
      </w:pPr>
      <w:r>
        <w:rPr>
          <w:spacing w:val="-2"/>
          <w:sz w:val="22"/>
          <w:szCs w:val="22"/>
        </w:rPr>
        <w:t>Lot 4 “Procurement of primary chopper and secondary choppers”: The Bidder should demonstrate that it has successfully completed the manufacture of minimum 200 choppers within last 5 (five) years.</w:t>
      </w:r>
    </w:p>
    <w:p w:rsidR="0095421F" w:rsidRDefault="0095421F" w:rsidP="0095421F">
      <w:pPr>
        <w:spacing w:after="200"/>
        <w:rPr>
          <w:spacing w:val="-2"/>
          <w:sz w:val="22"/>
          <w:szCs w:val="22"/>
        </w:rPr>
      </w:pPr>
      <w:r>
        <w:rPr>
          <w:spacing w:val="-2"/>
          <w:sz w:val="22"/>
          <w:szCs w:val="22"/>
        </w:rPr>
        <w:t>Lot 5 “Procurement of bulldozer”: The Bidder should demonstrate that it has successfully completed the manufacture of minimum 300 bulldozers within last 5 (five) years.</w:t>
      </w:r>
    </w:p>
    <w:p w:rsidR="0095421F" w:rsidRDefault="0095421F" w:rsidP="0095421F">
      <w:pPr>
        <w:spacing w:after="200"/>
      </w:pPr>
      <w:r>
        <w:rPr>
          <w:spacing w:val="-2"/>
          <w:sz w:val="22"/>
          <w:szCs w:val="22"/>
        </w:rPr>
        <w:t>In order to be qualified for more than one lot, the Bidder (or Manufacturer) shall meet the aggregate of the above requirements (</w:t>
      </w:r>
      <w:proofErr w:type="spellStart"/>
      <w:r>
        <w:rPr>
          <w:spacing w:val="-2"/>
          <w:sz w:val="22"/>
          <w:szCs w:val="22"/>
        </w:rPr>
        <w:t>i</w:t>
      </w:r>
      <w:proofErr w:type="spellEnd"/>
      <w:r>
        <w:rPr>
          <w:spacing w:val="-2"/>
          <w:sz w:val="22"/>
          <w:szCs w:val="22"/>
        </w:rPr>
        <w:t>) and (ii) for which lots the bid is submitted.</w:t>
      </w:r>
    </w:p>
    <w:p w:rsidR="0095421F" w:rsidRDefault="0095421F" w:rsidP="0095421F">
      <w:pPr>
        <w:spacing w:after="200"/>
        <w:rPr>
          <w:spacing w:val="-2"/>
          <w:sz w:val="22"/>
          <w:szCs w:val="22"/>
        </w:rPr>
      </w:pPr>
      <w:r>
        <w:rPr>
          <w:spacing w:val="-2"/>
          <w:sz w:val="22"/>
          <w:szCs w:val="22"/>
        </w:rPr>
        <w:t xml:space="preserve">3. Bidding will be conducted through the International Competitive Bidding procedures as specified in the </w:t>
      </w:r>
      <w:r>
        <w:rPr>
          <w:sz w:val="22"/>
          <w:szCs w:val="22"/>
        </w:rPr>
        <w:t xml:space="preserve">World Bank’s </w:t>
      </w:r>
      <w:r>
        <w:rPr>
          <w:iCs/>
          <w:sz w:val="22"/>
          <w:szCs w:val="22"/>
          <w:u w:val="single"/>
        </w:rPr>
        <w:t xml:space="preserve">Guidelines: Procurement of Goods, Works and Non-Consulting Services under IBRD Loans and IDA Credits&amp; Grants by World Bank Borrowers, </w:t>
      </w:r>
      <w:r>
        <w:rPr>
          <w:sz w:val="22"/>
          <w:szCs w:val="22"/>
          <w:u w:val="single"/>
        </w:rPr>
        <w:t xml:space="preserve">January 2011 </w:t>
      </w:r>
      <w:r>
        <w:rPr>
          <w:spacing w:val="-2"/>
          <w:sz w:val="22"/>
          <w:szCs w:val="22"/>
        </w:rPr>
        <w:t xml:space="preserve">(“Procurement Guidelines”), and is open to all eligible bidders as defined in the Procurement Guidelines. In addition, please refer to paragraphs 1.6 and 1.7 setting forth the World Bank’s policy on conflict of interest. </w:t>
      </w:r>
    </w:p>
    <w:p w:rsidR="0095421F" w:rsidRDefault="0095421F" w:rsidP="0095421F">
      <w:pPr>
        <w:spacing w:after="200"/>
        <w:rPr>
          <w:spacing w:val="-2"/>
          <w:sz w:val="22"/>
          <w:szCs w:val="22"/>
        </w:rPr>
      </w:pPr>
      <w:r>
        <w:rPr>
          <w:spacing w:val="-2"/>
          <w:sz w:val="22"/>
          <w:szCs w:val="22"/>
        </w:rPr>
        <w:t xml:space="preserve">4. Bidders may obtain further information from </w:t>
      </w:r>
      <w:r>
        <w:rPr>
          <w:sz w:val="22"/>
          <w:szCs w:val="22"/>
          <w:u w:val="single"/>
        </w:rPr>
        <w:t>Utility Company “</w:t>
      </w:r>
      <w:proofErr w:type="spellStart"/>
      <w:r>
        <w:rPr>
          <w:sz w:val="22"/>
          <w:szCs w:val="22"/>
          <w:u w:val="single"/>
        </w:rPr>
        <w:t>Kharkiv</w:t>
      </w:r>
      <w:proofErr w:type="spellEnd"/>
      <w:r>
        <w:rPr>
          <w:sz w:val="22"/>
          <w:szCs w:val="22"/>
          <w:u w:val="single"/>
        </w:rPr>
        <w:t xml:space="preserve"> Municipal Company for Waste Management”</w:t>
      </w:r>
      <w:r>
        <w:rPr>
          <w:iCs/>
          <w:sz w:val="22"/>
          <w:szCs w:val="22"/>
        </w:rPr>
        <w:t xml:space="preserve">, Mr. </w:t>
      </w:r>
      <w:proofErr w:type="spellStart"/>
      <w:r>
        <w:rPr>
          <w:iCs/>
          <w:sz w:val="22"/>
          <w:szCs w:val="22"/>
        </w:rPr>
        <w:t>Sergiy</w:t>
      </w:r>
      <w:proofErr w:type="spellEnd"/>
      <w:r>
        <w:rPr>
          <w:iCs/>
          <w:sz w:val="22"/>
          <w:szCs w:val="22"/>
        </w:rPr>
        <w:t xml:space="preserve"> </w:t>
      </w:r>
      <w:proofErr w:type="spellStart"/>
      <w:r>
        <w:rPr>
          <w:iCs/>
          <w:sz w:val="22"/>
          <w:szCs w:val="22"/>
        </w:rPr>
        <w:t>Kusenko</w:t>
      </w:r>
      <w:proofErr w:type="spellEnd"/>
      <w:r>
        <w:rPr>
          <w:iCs/>
          <w:sz w:val="22"/>
          <w:szCs w:val="22"/>
        </w:rPr>
        <w:t xml:space="preserve">, Procurement Specialist, e-mail: </w:t>
      </w:r>
      <w:hyperlink r:id="rId5" w:history="1">
        <w:r>
          <w:rPr>
            <w:rStyle w:val="a3"/>
            <w:sz w:val="22"/>
            <w:szCs w:val="22"/>
          </w:rPr>
          <w:t>sergey.kusenko@gmail.com</w:t>
        </w:r>
      </w:hyperlink>
      <w:r>
        <w:rPr>
          <w:iCs/>
          <w:sz w:val="22"/>
          <w:szCs w:val="22"/>
        </w:rPr>
        <w:t xml:space="preserve"> </w:t>
      </w:r>
      <w:r>
        <w:rPr>
          <w:spacing w:val="-2"/>
          <w:sz w:val="22"/>
          <w:szCs w:val="22"/>
        </w:rPr>
        <w:t xml:space="preserve">and inspect the bidding documents during office hours </w:t>
      </w:r>
      <w:r>
        <w:rPr>
          <w:sz w:val="22"/>
          <w:szCs w:val="22"/>
        </w:rPr>
        <w:t xml:space="preserve">from </w:t>
      </w:r>
      <w:r>
        <w:rPr>
          <w:sz w:val="22"/>
          <w:szCs w:val="22"/>
          <w:u w:val="single"/>
        </w:rPr>
        <w:t>08:00 to 17:00 local time</w:t>
      </w:r>
      <w:r>
        <w:rPr>
          <w:i/>
          <w:spacing w:val="-2"/>
          <w:sz w:val="22"/>
          <w:szCs w:val="22"/>
        </w:rPr>
        <w:t xml:space="preserve"> </w:t>
      </w:r>
      <w:r>
        <w:rPr>
          <w:spacing w:val="-2"/>
          <w:sz w:val="22"/>
          <w:szCs w:val="22"/>
        </w:rPr>
        <w:t>at the address given below</w:t>
      </w:r>
      <w:r>
        <w:rPr>
          <w:i/>
          <w:spacing w:val="-2"/>
          <w:sz w:val="22"/>
          <w:szCs w:val="22"/>
        </w:rPr>
        <w:t>.</w:t>
      </w:r>
    </w:p>
    <w:p w:rsidR="0095421F" w:rsidRDefault="0095421F" w:rsidP="0095421F">
      <w:pPr>
        <w:spacing w:after="200"/>
        <w:rPr>
          <w:spacing w:val="-2"/>
          <w:sz w:val="22"/>
          <w:szCs w:val="22"/>
        </w:rPr>
      </w:pPr>
      <w:r>
        <w:rPr>
          <w:spacing w:val="-2"/>
          <w:sz w:val="22"/>
          <w:szCs w:val="22"/>
        </w:rPr>
        <w:t xml:space="preserve">5. A complete set of bidding documents in English may be purchased by eligible bidders upon the submission of a written application to the address below and upon payment of a </w:t>
      </w:r>
      <w:r>
        <w:rPr>
          <w:spacing w:val="-2"/>
          <w:sz w:val="22"/>
          <w:szCs w:val="22"/>
          <w:u w:val="single"/>
        </w:rPr>
        <w:t>nonrefundable fee of USD 100 (one hundred US dollars) or UAH 2,700 (two thousand seven hundred Ukrainian Hryvnas)</w:t>
      </w:r>
      <w:r>
        <w:rPr>
          <w:spacing w:val="-2"/>
          <w:sz w:val="22"/>
          <w:szCs w:val="22"/>
        </w:rPr>
        <w:t xml:space="preserve">. The method of payment will be </w:t>
      </w:r>
      <w:r>
        <w:rPr>
          <w:sz w:val="22"/>
          <w:szCs w:val="22"/>
          <w:u w:val="single"/>
        </w:rPr>
        <w:t>direct deposit to the bank account specified below</w:t>
      </w:r>
      <w:r>
        <w:rPr>
          <w:spacing w:val="-2"/>
          <w:sz w:val="22"/>
          <w:szCs w:val="22"/>
        </w:rPr>
        <w:t xml:space="preserve">. The document will be </w:t>
      </w:r>
      <w:r>
        <w:rPr>
          <w:spacing w:val="-2"/>
          <w:sz w:val="22"/>
          <w:szCs w:val="22"/>
          <w:u w:val="single"/>
        </w:rPr>
        <w:t>sent by airmail for overseas delivery, surface mail or courier for local delivery or can be picked from the address below.</w:t>
      </w:r>
      <w:r>
        <w:rPr>
          <w:sz w:val="22"/>
          <w:szCs w:val="22"/>
          <w:u w:val="single"/>
        </w:rPr>
        <w:t xml:space="preserve"> </w:t>
      </w:r>
      <w:r>
        <w:rPr>
          <w:iCs/>
          <w:sz w:val="22"/>
          <w:szCs w:val="22"/>
          <w:u w:val="single"/>
        </w:rPr>
        <w:t>Additionally, the Bidding Document will be delivered electronically to the electronic mail address indicated by potential bidders in their applications.</w:t>
      </w:r>
    </w:p>
    <w:p w:rsidR="0095421F" w:rsidRDefault="0095421F" w:rsidP="0095421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iCs/>
          <w:spacing w:val="-2"/>
          <w:sz w:val="22"/>
          <w:szCs w:val="22"/>
        </w:rPr>
      </w:pPr>
      <w:r>
        <w:rPr>
          <w:spacing w:val="-2"/>
          <w:sz w:val="22"/>
          <w:szCs w:val="22"/>
        </w:rPr>
        <w:t xml:space="preserve">6. Bids must be delivered to the address below on or before </w:t>
      </w:r>
      <w:r w:rsidRPr="00F74577">
        <w:rPr>
          <w:color w:val="FF0000"/>
          <w:spacing w:val="-2"/>
          <w:sz w:val="22"/>
          <w:szCs w:val="22"/>
        </w:rPr>
        <w:t>February 13</w:t>
      </w:r>
      <w:r>
        <w:rPr>
          <w:spacing w:val="-2"/>
          <w:sz w:val="22"/>
          <w:szCs w:val="22"/>
        </w:rPr>
        <w:t>, 2018,</w:t>
      </w:r>
      <w:r>
        <w:rPr>
          <w:i/>
          <w:spacing w:val="-2"/>
          <w:sz w:val="22"/>
          <w:szCs w:val="22"/>
        </w:rPr>
        <w:t xml:space="preserve"> </w:t>
      </w:r>
      <w:r>
        <w:rPr>
          <w:spacing w:val="-2"/>
          <w:sz w:val="22"/>
          <w:szCs w:val="22"/>
        </w:rPr>
        <w:t>12:00 local time</w:t>
      </w:r>
      <w:r>
        <w:rPr>
          <w:i/>
          <w:spacing w:val="-2"/>
          <w:sz w:val="22"/>
          <w:szCs w:val="22"/>
        </w:rPr>
        <w:t>.</w:t>
      </w:r>
      <w:r>
        <w:rPr>
          <w:sz w:val="22"/>
          <w:szCs w:val="22"/>
        </w:rPr>
        <w:t xml:space="preserve"> Electronic bidding will </w:t>
      </w:r>
      <w:r>
        <w:rPr>
          <w:iCs/>
          <w:sz w:val="22"/>
          <w:szCs w:val="22"/>
        </w:rPr>
        <w:t>not</w:t>
      </w:r>
      <w:r>
        <w:rPr>
          <w:sz w:val="22"/>
          <w:szCs w:val="22"/>
        </w:rPr>
        <w:t xml:space="preserve"> be permitted.</w:t>
      </w:r>
      <w:r>
        <w:rPr>
          <w:spacing w:val="-2"/>
          <w:sz w:val="22"/>
          <w:szCs w:val="22"/>
        </w:rPr>
        <w:t xml:space="preserve"> Late bids will be rejected. Bids will be publicly opened in the presence of the bidders’ designated representatives and anyone who choose to attend at the address below on </w:t>
      </w:r>
      <w:r w:rsidRPr="00F74577">
        <w:rPr>
          <w:color w:val="FF0000"/>
          <w:spacing w:val="-2"/>
          <w:sz w:val="22"/>
          <w:szCs w:val="22"/>
        </w:rPr>
        <w:t>February 13</w:t>
      </w:r>
      <w:r>
        <w:rPr>
          <w:spacing w:val="-2"/>
          <w:sz w:val="22"/>
          <w:szCs w:val="22"/>
        </w:rPr>
        <w:t>, 2018, 12:00 local time.</w:t>
      </w:r>
    </w:p>
    <w:p w:rsidR="0095421F" w:rsidRDefault="0095421F" w:rsidP="0095421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pPr>
      <w:r>
        <w:rPr>
          <w:iCs/>
          <w:spacing w:val="-2"/>
          <w:sz w:val="22"/>
          <w:szCs w:val="22"/>
        </w:rPr>
        <w:t>7. All bids must be accompanied by a Bid-Securing Declaration.</w:t>
      </w:r>
    </w:p>
    <w:p w:rsidR="0095421F" w:rsidRDefault="0095421F" w:rsidP="0095421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pPr>
    </w:p>
    <w:p w:rsidR="0095421F" w:rsidRDefault="0095421F" w:rsidP="0095421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pPr>
      <w:r>
        <w:rPr>
          <w:iCs/>
          <w:spacing w:val="-2"/>
          <w:sz w:val="22"/>
          <w:szCs w:val="22"/>
        </w:rPr>
        <w:t xml:space="preserve">8. </w:t>
      </w:r>
      <w:r>
        <w:rPr>
          <w:iCs/>
          <w:sz w:val="22"/>
          <w:szCs w:val="22"/>
        </w:rPr>
        <w:t xml:space="preserve">The address referred to above is: </w:t>
      </w:r>
    </w:p>
    <w:p w:rsidR="0095421F" w:rsidRDefault="0095421F" w:rsidP="0095421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pPr>
    </w:p>
    <w:p w:rsidR="0095421F" w:rsidRDefault="0095421F" w:rsidP="0095421F">
      <w:pPr>
        <w:rPr>
          <w:sz w:val="22"/>
          <w:szCs w:val="22"/>
          <w:u w:val="single"/>
        </w:rPr>
      </w:pPr>
    </w:p>
    <w:p w:rsidR="0095421F" w:rsidRDefault="0095421F" w:rsidP="0095421F">
      <w:pPr>
        <w:rPr>
          <w:sz w:val="22"/>
          <w:szCs w:val="22"/>
        </w:rPr>
      </w:pPr>
      <w:r>
        <w:rPr>
          <w:sz w:val="22"/>
          <w:szCs w:val="22"/>
          <w:u w:val="single"/>
        </w:rPr>
        <w:t>Utility Company “</w:t>
      </w:r>
      <w:proofErr w:type="spellStart"/>
      <w:r>
        <w:rPr>
          <w:sz w:val="22"/>
          <w:szCs w:val="22"/>
          <w:u w:val="single"/>
        </w:rPr>
        <w:t>Kharkiv</w:t>
      </w:r>
      <w:proofErr w:type="spellEnd"/>
      <w:r>
        <w:rPr>
          <w:sz w:val="22"/>
          <w:szCs w:val="22"/>
          <w:u w:val="single"/>
        </w:rPr>
        <w:t xml:space="preserve"> Municipal Company for Waste Management”</w:t>
      </w:r>
    </w:p>
    <w:p w:rsidR="0095421F" w:rsidRDefault="0095421F" w:rsidP="0095421F">
      <w:pPr>
        <w:tabs>
          <w:tab w:val="right" w:pos="7254"/>
        </w:tabs>
        <w:spacing w:after="120"/>
        <w:rPr>
          <w:sz w:val="22"/>
          <w:szCs w:val="22"/>
        </w:rPr>
      </w:pPr>
      <w:r>
        <w:rPr>
          <w:sz w:val="22"/>
          <w:szCs w:val="22"/>
        </w:rPr>
        <w:t xml:space="preserve">Attention: </w:t>
      </w:r>
      <w:r>
        <w:rPr>
          <w:sz w:val="22"/>
          <w:szCs w:val="22"/>
          <w:u w:val="single"/>
        </w:rPr>
        <w:t xml:space="preserve">Mr. </w:t>
      </w:r>
      <w:bookmarkStart w:id="0" w:name="_Hlk499562581"/>
      <w:proofErr w:type="spellStart"/>
      <w:r>
        <w:rPr>
          <w:sz w:val="22"/>
          <w:szCs w:val="22"/>
          <w:u w:val="single"/>
        </w:rPr>
        <w:t>Sergiy</w:t>
      </w:r>
      <w:proofErr w:type="spellEnd"/>
      <w:r>
        <w:rPr>
          <w:sz w:val="22"/>
          <w:szCs w:val="22"/>
          <w:u w:val="single"/>
        </w:rPr>
        <w:t xml:space="preserve"> </w:t>
      </w:r>
      <w:proofErr w:type="spellStart"/>
      <w:r>
        <w:rPr>
          <w:sz w:val="22"/>
          <w:szCs w:val="22"/>
          <w:u w:val="single"/>
        </w:rPr>
        <w:t>Kusenko</w:t>
      </w:r>
      <w:proofErr w:type="spellEnd"/>
      <w:r>
        <w:rPr>
          <w:sz w:val="22"/>
          <w:szCs w:val="22"/>
          <w:u w:val="single"/>
        </w:rPr>
        <w:t>, Procurement Specialist</w:t>
      </w:r>
      <w:bookmarkEnd w:id="0"/>
    </w:p>
    <w:p w:rsidR="0095421F" w:rsidRDefault="0095421F" w:rsidP="0095421F">
      <w:pPr>
        <w:tabs>
          <w:tab w:val="right" w:pos="7254"/>
        </w:tabs>
        <w:spacing w:after="120"/>
        <w:rPr>
          <w:sz w:val="22"/>
          <w:szCs w:val="22"/>
        </w:rPr>
      </w:pPr>
      <w:r>
        <w:rPr>
          <w:sz w:val="22"/>
          <w:szCs w:val="22"/>
        </w:rPr>
        <w:t xml:space="preserve">Street Address: </w:t>
      </w:r>
      <w:r>
        <w:rPr>
          <w:sz w:val="22"/>
          <w:szCs w:val="22"/>
          <w:u w:val="single"/>
        </w:rPr>
        <w:t xml:space="preserve">17 </w:t>
      </w:r>
      <w:proofErr w:type="spellStart"/>
      <w:r>
        <w:rPr>
          <w:sz w:val="22"/>
          <w:szCs w:val="22"/>
          <w:u w:val="single"/>
        </w:rPr>
        <w:t>Podilsky</w:t>
      </w:r>
      <w:proofErr w:type="spellEnd"/>
      <w:r>
        <w:rPr>
          <w:sz w:val="22"/>
          <w:szCs w:val="22"/>
          <w:u w:val="single"/>
        </w:rPr>
        <w:t xml:space="preserve"> ct.</w:t>
      </w:r>
    </w:p>
    <w:p w:rsidR="0095421F" w:rsidRDefault="0095421F" w:rsidP="0095421F">
      <w:pPr>
        <w:tabs>
          <w:tab w:val="right" w:pos="7254"/>
        </w:tabs>
        <w:spacing w:after="120"/>
        <w:rPr>
          <w:sz w:val="22"/>
          <w:szCs w:val="22"/>
        </w:rPr>
      </w:pPr>
      <w:r>
        <w:rPr>
          <w:sz w:val="22"/>
          <w:szCs w:val="22"/>
        </w:rPr>
        <w:t xml:space="preserve">Floor/Room number: </w:t>
      </w:r>
      <w:r>
        <w:rPr>
          <w:iCs/>
          <w:spacing w:val="-4"/>
          <w:sz w:val="22"/>
          <w:szCs w:val="22"/>
          <w:u w:val="single"/>
        </w:rPr>
        <w:t>Ground Floor, Director’s Office</w:t>
      </w:r>
      <w:r>
        <w:rPr>
          <w:sz w:val="22"/>
          <w:szCs w:val="22"/>
          <w:u w:val="single"/>
        </w:rPr>
        <w:t xml:space="preserve"> </w:t>
      </w:r>
    </w:p>
    <w:p w:rsidR="0095421F" w:rsidRDefault="0095421F" w:rsidP="0095421F">
      <w:pPr>
        <w:tabs>
          <w:tab w:val="right" w:pos="7254"/>
        </w:tabs>
        <w:spacing w:after="120"/>
        <w:rPr>
          <w:sz w:val="22"/>
          <w:szCs w:val="22"/>
        </w:rPr>
      </w:pPr>
      <w:r>
        <w:rPr>
          <w:sz w:val="22"/>
          <w:szCs w:val="22"/>
        </w:rPr>
        <w:t xml:space="preserve">City: </w:t>
      </w:r>
      <w:proofErr w:type="spellStart"/>
      <w:r>
        <w:rPr>
          <w:sz w:val="22"/>
          <w:szCs w:val="22"/>
          <w:u w:val="single"/>
        </w:rPr>
        <w:t>Kharkiv</w:t>
      </w:r>
      <w:r>
        <w:rPr>
          <w:sz w:val="22"/>
          <w:szCs w:val="22"/>
        </w:rPr>
        <w:t>Postal</w:t>
      </w:r>
      <w:proofErr w:type="spellEnd"/>
      <w:r>
        <w:rPr>
          <w:sz w:val="22"/>
          <w:szCs w:val="22"/>
        </w:rPr>
        <w:t xml:space="preserve"> Code: </w:t>
      </w:r>
      <w:r>
        <w:rPr>
          <w:sz w:val="22"/>
          <w:szCs w:val="22"/>
          <w:u w:val="single"/>
        </w:rPr>
        <w:t>61003</w:t>
      </w:r>
    </w:p>
    <w:p w:rsidR="0095421F" w:rsidRDefault="0095421F" w:rsidP="0095421F">
      <w:pPr>
        <w:tabs>
          <w:tab w:val="right" w:pos="7254"/>
        </w:tabs>
        <w:spacing w:after="120"/>
        <w:rPr>
          <w:sz w:val="22"/>
          <w:szCs w:val="22"/>
        </w:rPr>
      </w:pPr>
      <w:r>
        <w:rPr>
          <w:sz w:val="22"/>
          <w:szCs w:val="22"/>
        </w:rPr>
        <w:t xml:space="preserve">Country: </w:t>
      </w:r>
      <w:r>
        <w:rPr>
          <w:sz w:val="22"/>
          <w:szCs w:val="22"/>
          <w:u w:val="single"/>
        </w:rPr>
        <w:t>Ukraine</w:t>
      </w:r>
    </w:p>
    <w:p w:rsidR="0095421F" w:rsidRDefault="0095421F" w:rsidP="0095421F">
      <w:pPr>
        <w:tabs>
          <w:tab w:val="right" w:pos="7254"/>
        </w:tabs>
        <w:spacing w:after="120"/>
        <w:rPr>
          <w:sz w:val="22"/>
          <w:szCs w:val="22"/>
        </w:rPr>
      </w:pPr>
      <w:r>
        <w:rPr>
          <w:sz w:val="22"/>
          <w:szCs w:val="22"/>
        </w:rPr>
        <w:t xml:space="preserve">Telephone: </w:t>
      </w:r>
      <w:r>
        <w:rPr>
          <w:sz w:val="22"/>
          <w:szCs w:val="22"/>
          <w:u w:val="single"/>
        </w:rPr>
        <w:t>+38 057 771 08 45, +38 050 940 43 76;</w:t>
      </w:r>
    </w:p>
    <w:p w:rsidR="0095421F" w:rsidRDefault="0095421F" w:rsidP="0095421F">
      <w:pPr>
        <w:tabs>
          <w:tab w:val="right" w:pos="7254"/>
        </w:tabs>
        <w:spacing w:after="120"/>
        <w:rPr>
          <w:sz w:val="22"/>
          <w:szCs w:val="22"/>
        </w:rPr>
      </w:pPr>
      <w:r>
        <w:rPr>
          <w:sz w:val="22"/>
          <w:szCs w:val="22"/>
        </w:rPr>
        <w:t xml:space="preserve">Facsimile number: </w:t>
      </w:r>
      <w:r>
        <w:rPr>
          <w:sz w:val="22"/>
          <w:szCs w:val="22"/>
          <w:u w:val="single"/>
        </w:rPr>
        <w:t>+38-057-771-0845;</w:t>
      </w:r>
    </w:p>
    <w:p w:rsidR="0095421F" w:rsidRDefault="0095421F" w:rsidP="0095421F">
      <w:pPr>
        <w:rPr>
          <w:sz w:val="22"/>
          <w:szCs w:val="22"/>
        </w:rPr>
      </w:pPr>
      <w:r>
        <w:rPr>
          <w:sz w:val="22"/>
          <w:szCs w:val="22"/>
        </w:rPr>
        <w:t xml:space="preserve">Electronic mail address: </w:t>
      </w:r>
      <w:bookmarkStart w:id="1" w:name="_Hlk499562598"/>
      <w:r>
        <w:fldChar w:fldCharType="begin"/>
      </w:r>
      <w:r>
        <w:instrText xml:space="preserve"> HYPERLINK "mailto:sergey.kusenko@gmail.com"</w:instrText>
      </w:r>
      <w:r>
        <w:fldChar w:fldCharType="separate"/>
      </w:r>
      <w:r>
        <w:rPr>
          <w:rStyle w:val="a3"/>
          <w:sz w:val="22"/>
          <w:szCs w:val="22"/>
        </w:rPr>
        <w:t>sergey.kusenko@gmail.com</w:t>
      </w:r>
      <w:r>
        <w:fldChar w:fldCharType="end"/>
      </w:r>
      <w:bookmarkEnd w:id="1"/>
    </w:p>
    <w:p w:rsidR="0095421F" w:rsidRDefault="0095421F" w:rsidP="0095421F">
      <w:pPr>
        <w:rPr>
          <w:sz w:val="22"/>
          <w:szCs w:val="22"/>
        </w:rPr>
      </w:pPr>
    </w:p>
    <w:p w:rsidR="0095421F" w:rsidRDefault="0095421F" w:rsidP="0095421F">
      <w:pPr>
        <w:rPr>
          <w:sz w:val="22"/>
          <w:szCs w:val="22"/>
        </w:rPr>
      </w:pPr>
    </w:p>
    <w:p w:rsidR="0095421F" w:rsidRDefault="0095421F" w:rsidP="0095421F">
      <w:pPr>
        <w:rPr>
          <w:sz w:val="22"/>
          <w:szCs w:val="22"/>
        </w:rPr>
      </w:pPr>
    </w:p>
    <w:p w:rsidR="0095421F" w:rsidRDefault="0095421F" w:rsidP="0095421F">
      <w:pPr>
        <w:rPr>
          <w:sz w:val="22"/>
          <w:szCs w:val="22"/>
        </w:rPr>
      </w:pPr>
    </w:p>
    <w:p w:rsidR="0095421F" w:rsidRDefault="0095421F" w:rsidP="0095421F">
      <w:pPr>
        <w:rPr>
          <w:sz w:val="22"/>
          <w:szCs w:val="22"/>
        </w:rPr>
      </w:pPr>
    </w:p>
    <w:tbl>
      <w:tblPr>
        <w:tblW w:w="0" w:type="auto"/>
        <w:tblLayout w:type="fixed"/>
        <w:tblLook w:val="0000" w:firstRow="0" w:lastRow="0" w:firstColumn="0" w:lastColumn="0" w:noHBand="0" w:noVBand="0"/>
      </w:tblPr>
      <w:tblGrid>
        <w:gridCol w:w="4785"/>
        <w:gridCol w:w="4785"/>
      </w:tblGrid>
      <w:tr w:rsidR="0095421F" w:rsidTr="00F74577">
        <w:tc>
          <w:tcPr>
            <w:tcW w:w="4785" w:type="dxa"/>
            <w:shd w:val="clear" w:color="auto" w:fill="FFFFFF"/>
          </w:tcPr>
          <w:p w:rsidR="0095421F" w:rsidRDefault="0095421F" w:rsidP="00F74577">
            <w:pPr>
              <w:spacing w:after="200"/>
              <w:rPr>
                <w:b/>
              </w:rPr>
            </w:pPr>
            <w:r>
              <w:rPr>
                <w:iCs/>
                <w:spacing w:val="-6"/>
                <w:u w:val="single"/>
              </w:rPr>
              <w:t>Bank information for transfers in UAH:</w:t>
            </w:r>
          </w:p>
          <w:p w:rsidR="0095421F" w:rsidRDefault="0095421F" w:rsidP="00F74577">
            <w:pPr>
              <w:pStyle w:val="NoSpacing"/>
            </w:pPr>
            <w:proofErr w:type="spellStart"/>
            <w:r>
              <w:rPr>
                <w:b/>
              </w:rPr>
              <w:t>Отримувач</w:t>
            </w:r>
            <w:proofErr w:type="spellEnd"/>
            <w:r>
              <w:rPr>
                <w:b/>
              </w:rPr>
              <w:t xml:space="preserve"> </w:t>
            </w:r>
            <w:proofErr w:type="spellStart"/>
            <w:r>
              <w:rPr>
                <w:b/>
              </w:rPr>
              <w:t>платежу</w:t>
            </w:r>
            <w:proofErr w:type="spellEnd"/>
            <w:r>
              <w:rPr>
                <w:b/>
              </w:rPr>
              <w:t xml:space="preserve">: </w:t>
            </w:r>
          </w:p>
          <w:p w:rsidR="0095421F" w:rsidRDefault="0095421F" w:rsidP="00F74577">
            <w:pPr>
              <w:pStyle w:val="NoSpacing"/>
            </w:pPr>
            <w:proofErr w:type="spellStart"/>
            <w:r>
              <w:t>Комунальне</w:t>
            </w:r>
            <w:proofErr w:type="spellEnd"/>
            <w:r>
              <w:t xml:space="preserve"> </w:t>
            </w:r>
            <w:proofErr w:type="spellStart"/>
            <w:r>
              <w:t>підприємство</w:t>
            </w:r>
            <w:proofErr w:type="spellEnd"/>
            <w:r>
              <w:t xml:space="preserve"> «</w:t>
            </w:r>
            <w:proofErr w:type="spellStart"/>
            <w:r>
              <w:t>Муніципальна</w:t>
            </w:r>
            <w:proofErr w:type="spellEnd"/>
            <w:r>
              <w:t xml:space="preserve"> </w:t>
            </w:r>
          </w:p>
          <w:p w:rsidR="0095421F" w:rsidRDefault="0095421F" w:rsidP="00F74577">
            <w:pPr>
              <w:pStyle w:val="NoSpacing"/>
            </w:pPr>
            <w:proofErr w:type="spellStart"/>
            <w:r>
              <w:t>компанія</w:t>
            </w:r>
            <w:proofErr w:type="spellEnd"/>
            <w:r>
              <w:t xml:space="preserve"> </w:t>
            </w:r>
            <w:proofErr w:type="spellStart"/>
            <w:r>
              <w:t>поводження</w:t>
            </w:r>
            <w:proofErr w:type="spellEnd"/>
            <w:r>
              <w:t xml:space="preserve"> з </w:t>
            </w:r>
            <w:proofErr w:type="spellStart"/>
            <w:r>
              <w:t>відходами</w:t>
            </w:r>
            <w:proofErr w:type="spellEnd"/>
            <w:r>
              <w:t xml:space="preserve">» </w:t>
            </w:r>
            <w:proofErr w:type="spellStart"/>
            <w:r>
              <w:t>Харківської</w:t>
            </w:r>
            <w:proofErr w:type="spellEnd"/>
            <w:r>
              <w:t xml:space="preserve"> </w:t>
            </w:r>
            <w:proofErr w:type="spellStart"/>
            <w:r>
              <w:t>міської</w:t>
            </w:r>
            <w:proofErr w:type="spellEnd"/>
            <w:r>
              <w:t xml:space="preserve"> </w:t>
            </w:r>
            <w:proofErr w:type="spellStart"/>
            <w:r>
              <w:t>ради</w:t>
            </w:r>
            <w:proofErr w:type="spellEnd"/>
            <w:r>
              <w:t>.</w:t>
            </w:r>
          </w:p>
          <w:p w:rsidR="0095421F" w:rsidRDefault="0095421F" w:rsidP="00F74577">
            <w:pPr>
              <w:pStyle w:val="NoSpacing"/>
            </w:pPr>
          </w:p>
          <w:p w:rsidR="0095421F" w:rsidRDefault="0095421F" w:rsidP="00F74577">
            <w:pPr>
              <w:pStyle w:val="NoSpacing"/>
            </w:pPr>
          </w:p>
          <w:p w:rsidR="0095421F" w:rsidRDefault="0095421F" w:rsidP="00F74577">
            <w:pPr>
              <w:pStyle w:val="NoSpacing"/>
              <w:rPr>
                <w:lang w:val="ru-RU"/>
              </w:rPr>
            </w:pPr>
            <w:proofErr w:type="spellStart"/>
            <w:r>
              <w:rPr>
                <w:b/>
                <w:lang w:val="ru-RU"/>
              </w:rPr>
              <w:t>Поштова</w:t>
            </w:r>
            <w:proofErr w:type="spellEnd"/>
            <w:r>
              <w:rPr>
                <w:b/>
                <w:lang w:val="ru-RU"/>
              </w:rPr>
              <w:t xml:space="preserve"> адреса:</w:t>
            </w:r>
          </w:p>
          <w:p w:rsidR="0095421F" w:rsidRDefault="0095421F" w:rsidP="00F74577">
            <w:pPr>
              <w:pStyle w:val="NoSpacing"/>
              <w:rPr>
                <w:lang w:val="ru-RU"/>
              </w:rPr>
            </w:pPr>
            <w:r>
              <w:rPr>
                <w:lang w:val="ru-RU"/>
              </w:rPr>
              <w:t>м.Харків-61003</w:t>
            </w:r>
          </w:p>
          <w:p w:rsidR="0095421F" w:rsidRPr="00F74577" w:rsidRDefault="0095421F" w:rsidP="00F74577">
            <w:pPr>
              <w:pStyle w:val="NoSpacing"/>
              <w:rPr>
                <w:lang w:val="ru-RU"/>
              </w:rPr>
            </w:pPr>
            <w:proofErr w:type="spellStart"/>
            <w:r>
              <w:rPr>
                <w:lang w:val="ru-RU"/>
              </w:rPr>
              <w:t>пров</w:t>
            </w:r>
            <w:proofErr w:type="spellEnd"/>
            <w:r>
              <w:rPr>
                <w:lang w:val="ru-RU"/>
              </w:rPr>
              <w:t xml:space="preserve">. </w:t>
            </w:r>
            <w:proofErr w:type="spellStart"/>
            <w:r w:rsidRPr="00F74577">
              <w:rPr>
                <w:lang w:val="ru-RU"/>
              </w:rPr>
              <w:t>Подільский</w:t>
            </w:r>
            <w:proofErr w:type="spellEnd"/>
            <w:r w:rsidRPr="00F74577">
              <w:rPr>
                <w:lang w:val="ru-RU"/>
              </w:rPr>
              <w:t xml:space="preserve">, </w:t>
            </w:r>
            <w:proofErr w:type="spellStart"/>
            <w:r w:rsidRPr="00F74577">
              <w:rPr>
                <w:lang w:val="ru-RU"/>
              </w:rPr>
              <w:t>будинок</w:t>
            </w:r>
            <w:proofErr w:type="spellEnd"/>
            <w:r w:rsidRPr="00F74577">
              <w:rPr>
                <w:lang w:val="ru-RU"/>
              </w:rPr>
              <w:t xml:space="preserve"> 17</w:t>
            </w:r>
          </w:p>
          <w:p w:rsidR="0095421F" w:rsidRPr="00F74577" w:rsidRDefault="0095421F" w:rsidP="00F74577">
            <w:pPr>
              <w:pStyle w:val="NoSpacing"/>
              <w:rPr>
                <w:lang w:val="ru-RU"/>
              </w:rPr>
            </w:pPr>
          </w:p>
          <w:p w:rsidR="0095421F" w:rsidRDefault="0095421F" w:rsidP="00F74577">
            <w:pPr>
              <w:pStyle w:val="NoSpacing"/>
              <w:rPr>
                <w:lang w:val="ru-RU"/>
              </w:rPr>
            </w:pPr>
            <w:proofErr w:type="spellStart"/>
            <w:r>
              <w:rPr>
                <w:b/>
                <w:lang w:val="ru-RU"/>
              </w:rPr>
              <w:t>Банківський</w:t>
            </w:r>
            <w:proofErr w:type="spellEnd"/>
            <w:r>
              <w:rPr>
                <w:b/>
                <w:lang w:val="ru-RU"/>
              </w:rPr>
              <w:t xml:space="preserve"> </w:t>
            </w:r>
            <w:proofErr w:type="spellStart"/>
            <w:r>
              <w:rPr>
                <w:b/>
                <w:lang w:val="ru-RU"/>
              </w:rPr>
              <w:t>рахунок</w:t>
            </w:r>
            <w:proofErr w:type="spellEnd"/>
            <w:r>
              <w:rPr>
                <w:b/>
                <w:lang w:val="ru-RU"/>
              </w:rPr>
              <w:t>, МФО, код банку:</w:t>
            </w:r>
          </w:p>
          <w:p w:rsidR="0095421F" w:rsidRDefault="0095421F" w:rsidP="00F74577">
            <w:pPr>
              <w:pStyle w:val="NoSpacing"/>
              <w:rPr>
                <w:lang w:val="ru-RU"/>
              </w:rPr>
            </w:pPr>
            <w:r>
              <w:rPr>
                <w:lang w:val="ru-RU"/>
              </w:rPr>
              <w:t>р\р 2600211647</w:t>
            </w:r>
          </w:p>
          <w:p w:rsidR="0095421F" w:rsidRDefault="0095421F" w:rsidP="00F74577">
            <w:pPr>
              <w:pStyle w:val="NoSpacing"/>
              <w:rPr>
                <w:lang w:val="ru-RU"/>
              </w:rPr>
            </w:pPr>
            <w:r>
              <w:rPr>
                <w:lang w:val="ru-RU"/>
              </w:rPr>
              <w:t>ПАТ «МЕГАБАНК»</w:t>
            </w:r>
          </w:p>
          <w:p w:rsidR="0095421F" w:rsidRPr="00F74577" w:rsidRDefault="0095421F" w:rsidP="00F74577">
            <w:pPr>
              <w:pStyle w:val="NoSpacing"/>
              <w:rPr>
                <w:lang w:val="ru-RU"/>
              </w:rPr>
            </w:pPr>
            <w:r>
              <w:rPr>
                <w:lang w:val="ru-RU"/>
              </w:rPr>
              <w:t>Код ЄДРПОУ: 30990215</w:t>
            </w:r>
          </w:p>
          <w:p w:rsidR="0095421F" w:rsidRDefault="0095421F" w:rsidP="00F74577">
            <w:pPr>
              <w:pStyle w:val="NoSpacing"/>
            </w:pPr>
            <w:r>
              <w:t>МФО 351629</w:t>
            </w:r>
          </w:p>
          <w:p w:rsidR="0095421F" w:rsidRDefault="0095421F" w:rsidP="00F74577">
            <w:r>
              <w:t>ІНН 309902120313</w:t>
            </w:r>
          </w:p>
          <w:p w:rsidR="0095421F" w:rsidRDefault="0095421F" w:rsidP="00F74577">
            <w:pPr>
              <w:spacing w:after="200"/>
              <w:rPr>
                <w:iCs/>
                <w:spacing w:val="-6"/>
                <w:u w:val="single"/>
              </w:rPr>
            </w:pPr>
            <w:proofErr w:type="spellStart"/>
            <w:r>
              <w:t>Свідоцтво</w:t>
            </w:r>
            <w:proofErr w:type="spellEnd"/>
            <w:r>
              <w:t xml:space="preserve"> ПДВ 100274667</w:t>
            </w:r>
          </w:p>
        </w:tc>
        <w:tc>
          <w:tcPr>
            <w:tcW w:w="4785" w:type="dxa"/>
            <w:shd w:val="clear" w:color="auto" w:fill="FFFFFF"/>
          </w:tcPr>
          <w:p w:rsidR="0095421F" w:rsidRDefault="0095421F" w:rsidP="00F74577">
            <w:pPr>
              <w:spacing w:after="200"/>
              <w:rPr>
                <w:b/>
              </w:rPr>
            </w:pPr>
            <w:r>
              <w:rPr>
                <w:iCs/>
                <w:spacing w:val="-6"/>
                <w:u w:val="single"/>
              </w:rPr>
              <w:t>Bank information for transfers in USD:</w:t>
            </w:r>
          </w:p>
          <w:p w:rsidR="0095421F" w:rsidRDefault="0095421F" w:rsidP="00F74577">
            <w:pPr>
              <w:pStyle w:val="NoSpacing"/>
            </w:pPr>
            <w:r>
              <w:rPr>
                <w:b/>
              </w:rPr>
              <w:t>Correspondent bank</w:t>
            </w:r>
          </w:p>
          <w:p w:rsidR="0095421F" w:rsidRDefault="0095421F" w:rsidP="00F74577">
            <w:pPr>
              <w:pStyle w:val="NoSpacing"/>
            </w:pPr>
            <w:r>
              <w:t>Deutsche Bank Trust Company Americas New York</w:t>
            </w:r>
          </w:p>
          <w:p w:rsidR="0095421F" w:rsidRDefault="0095421F" w:rsidP="00F74577">
            <w:pPr>
              <w:pStyle w:val="NoSpacing"/>
            </w:pPr>
            <w:proofErr w:type="spellStart"/>
            <w:r>
              <w:t>Nostro</w:t>
            </w:r>
            <w:proofErr w:type="spellEnd"/>
            <w:r>
              <w:t xml:space="preserve"> Account 04407027</w:t>
            </w:r>
          </w:p>
          <w:p w:rsidR="0095421F" w:rsidRDefault="0095421F" w:rsidP="00F74577">
            <w:pPr>
              <w:pStyle w:val="NoSpacing"/>
            </w:pPr>
            <w:r>
              <w:t>SWIFT/TELEX BKTR US 33</w:t>
            </w:r>
          </w:p>
          <w:p w:rsidR="0095421F" w:rsidRDefault="0095421F" w:rsidP="00F74577">
            <w:pPr>
              <w:pStyle w:val="NoSpacing"/>
            </w:pPr>
          </w:p>
          <w:p w:rsidR="0095421F" w:rsidRDefault="0095421F" w:rsidP="00F74577">
            <w:pPr>
              <w:pStyle w:val="NoSpacing"/>
            </w:pPr>
            <w:r>
              <w:rPr>
                <w:b/>
              </w:rPr>
              <w:t>Beneficiary</w:t>
            </w:r>
          </w:p>
          <w:p w:rsidR="0095421F" w:rsidRDefault="0095421F" w:rsidP="00F74577">
            <w:pPr>
              <w:pStyle w:val="NoSpacing"/>
            </w:pPr>
            <w:r>
              <w:t>Municipal service «Public company treatment of waste» Kharkov city council</w:t>
            </w:r>
          </w:p>
          <w:p w:rsidR="0095421F" w:rsidRDefault="0095421F" w:rsidP="00F74577">
            <w:pPr>
              <w:pStyle w:val="NoSpacing"/>
            </w:pPr>
            <w:r>
              <w:t>MS «PCTW» KCC</w:t>
            </w:r>
          </w:p>
          <w:p w:rsidR="0095421F" w:rsidRDefault="0095421F" w:rsidP="00F74577">
            <w:pPr>
              <w:pStyle w:val="NoSpacing"/>
            </w:pPr>
          </w:p>
          <w:p w:rsidR="0095421F" w:rsidRDefault="0095421F" w:rsidP="00F74577">
            <w:pPr>
              <w:pStyle w:val="NoSpacing"/>
            </w:pPr>
            <w:r>
              <w:rPr>
                <w:b/>
              </w:rPr>
              <w:t>Beneficiary bank</w:t>
            </w:r>
          </w:p>
          <w:p w:rsidR="0095421F" w:rsidRDefault="0095421F" w:rsidP="00F74577">
            <w:pPr>
              <w:pStyle w:val="NoSpacing"/>
            </w:pPr>
            <w:r>
              <w:t>MEGABANK PJSC</w:t>
            </w:r>
          </w:p>
          <w:p w:rsidR="0095421F" w:rsidRDefault="0095421F" w:rsidP="00F74577">
            <w:pPr>
              <w:pStyle w:val="NoSpacing"/>
            </w:pPr>
            <w:r>
              <w:t xml:space="preserve">Address: 30 </w:t>
            </w:r>
            <w:proofErr w:type="spellStart"/>
            <w:r>
              <w:t>Artema</w:t>
            </w:r>
            <w:proofErr w:type="spellEnd"/>
            <w:r>
              <w:t xml:space="preserve"> Str., </w:t>
            </w:r>
            <w:proofErr w:type="spellStart"/>
            <w:r>
              <w:t>Kharkiv</w:t>
            </w:r>
            <w:proofErr w:type="spellEnd"/>
            <w:r>
              <w:t>, 61002, Ukraine</w:t>
            </w:r>
          </w:p>
          <w:p w:rsidR="0095421F" w:rsidRDefault="0095421F" w:rsidP="00F74577">
            <w:pPr>
              <w:pStyle w:val="NoSpacing"/>
            </w:pPr>
            <w:r>
              <w:t>SWIFT: DBBK UA 2K</w:t>
            </w:r>
          </w:p>
          <w:p w:rsidR="0095421F" w:rsidRDefault="0095421F" w:rsidP="00F74577">
            <w:pPr>
              <w:pStyle w:val="NoSpacing"/>
            </w:pPr>
            <w:r>
              <w:t>Account 2600384011647</w:t>
            </w:r>
          </w:p>
        </w:tc>
      </w:tr>
    </w:tbl>
    <w:p w:rsidR="0095421F" w:rsidRDefault="0095421F" w:rsidP="0095421F"/>
    <w:p w:rsidR="0095421F" w:rsidRDefault="0095421F" w:rsidP="0095421F"/>
    <w:p w:rsidR="00027133" w:rsidRDefault="00027133">
      <w:bookmarkStart w:id="2" w:name="_GoBack"/>
      <w:bookmarkEnd w:id="2"/>
    </w:p>
    <w:sectPr w:rsidR="0002713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Times New Roman" w:hAnsi="Times New Roman" w:cs="Times New Roman"/>
        <w:b/>
        <w:color w:val="000000"/>
        <w:sz w:val="22"/>
        <w:szCs w:val="22"/>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1F"/>
    <w:rsid w:val="00027133"/>
    <w:rsid w:val="0095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C1133-0231-4D4F-A288-A6AA88EC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21F"/>
    <w:pPr>
      <w:suppressAutoHyphens/>
      <w:spacing w:after="0" w:line="100" w:lineRule="atLeast"/>
      <w:jc w:val="both"/>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421F"/>
    <w:rPr>
      <w:color w:val="0000FF"/>
      <w:u w:val="single"/>
      <w:lang/>
    </w:rPr>
  </w:style>
  <w:style w:type="paragraph" w:styleId="a4">
    <w:name w:val="Body Text"/>
    <w:basedOn w:val="a"/>
    <w:link w:val="a5"/>
    <w:rsid w:val="0095421F"/>
    <w:pPr>
      <w:ind w:right="-72"/>
    </w:pPr>
    <w:rPr>
      <w:spacing w:val="-4"/>
    </w:rPr>
  </w:style>
  <w:style w:type="character" w:customStyle="1" w:styleId="a5">
    <w:name w:val="Основной текст Знак"/>
    <w:basedOn w:val="a0"/>
    <w:link w:val="a4"/>
    <w:rsid w:val="0095421F"/>
    <w:rPr>
      <w:rFonts w:ascii="Times New Roman" w:eastAsia="Times New Roman" w:hAnsi="Times New Roman" w:cs="Times New Roman"/>
      <w:spacing w:val="-4"/>
      <w:sz w:val="24"/>
      <w:szCs w:val="20"/>
      <w:lang w:eastAsia="ar-SA"/>
    </w:rPr>
  </w:style>
  <w:style w:type="paragraph" w:customStyle="1" w:styleId="NoSpacing">
    <w:name w:val="No Spacing"/>
    <w:rsid w:val="0095421F"/>
    <w:pPr>
      <w:widowControl w:val="0"/>
      <w:suppressAutoHyphens/>
      <w:spacing w:after="0" w:line="100" w:lineRule="atLeast"/>
    </w:pPr>
    <w:rPr>
      <w:rFonts w:ascii="Times New Roman" w:eastAsia="Times New Roman" w:hAnsi="Times New Roman" w:cs="Times New Roman"/>
      <w:sz w:val="24"/>
      <w:szCs w:val="24"/>
      <w:lang w:eastAsia="ar-SA"/>
    </w:rPr>
  </w:style>
  <w:style w:type="paragraph" w:customStyle="1" w:styleId="ListParagraph">
    <w:name w:val="List Paragraph"/>
    <w:basedOn w:val="a"/>
    <w:rsid w:val="0095421F"/>
    <w:pPr>
      <w:ind w:left="720"/>
    </w:pPr>
  </w:style>
  <w:style w:type="paragraph" w:styleId="a6">
    <w:name w:val="No Spacing"/>
    <w:qFormat/>
    <w:rsid w:val="0095421F"/>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gey.kusenko@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Дмитриевна Мирошниченко</dc:creator>
  <cp:keywords/>
  <dc:description/>
  <cp:lastModifiedBy>Ольга Дмитриевна Мирошниченко</cp:lastModifiedBy>
  <cp:revision>1</cp:revision>
  <dcterms:created xsi:type="dcterms:W3CDTF">2018-02-14T09:56:00Z</dcterms:created>
  <dcterms:modified xsi:type="dcterms:W3CDTF">2018-02-14T09:56:00Z</dcterms:modified>
</cp:coreProperties>
</file>